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3EAB" w14:textId="77777777" w:rsidR="000B4DAC" w:rsidRPr="000B4DAC" w:rsidRDefault="000B4DAC" w:rsidP="000B4DAC">
      <w:pPr>
        <w:jc w:val="center"/>
        <w:outlineLvl w:val="1"/>
        <w:rPr>
          <w:rFonts w:ascii="Arial" w:eastAsia="Times New Roman" w:hAnsi="Arial" w:cs="Arial"/>
          <w:b/>
          <w:bCs/>
          <w:color w:val="000000"/>
          <w:sz w:val="28"/>
          <w:szCs w:val="27"/>
          <w:shd w:val="clear" w:color="auto" w:fill="FFFFFF"/>
          <w:lang w:val="en-GB" w:eastAsia="en-GB"/>
        </w:rPr>
      </w:pPr>
      <w:bookmarkStart w:id="0" w:name="_Toc135316783"/>
      <w:r w:rsidRPr="000B4DAC">
        <w:rPr>
          <w:rFonts w:ascii="Arial" w:eastAsia="Times New Roman" w:hAnsi="Arial" w:cs="Arial"/>
          <w:b/>
          <w:bCs/>
          <w:color w:val="000000"/>
          <w:sz w:val="28"/>
          <w:szCs w:val="27"/>
          <w:shd w:val="clear" w:color="auto" w:fill="FFFFFF"/>
          <w:lang w:val="en-GB" w:eastAsia="en-GB"/>
        </w:rPr>
        <w:t>Assessment of the microbiological quality and safety in takeaway sushi meals in Portugal</w:t>
      </w:r>
      <w:bookmarkEnd w:id="0"/>
    </w:p>
    <w:p w14:paraId="56B013D1" w14:textId="77777777" w:rsidR="000B4DAC" w:rsidRPr="000B4DAC" w:rsidRDefault="000B4DAC" w:rsidP="000B4DAC">
      <w:pPr>
        <w:rPr>
          <w:rFonts w:ascii="Calibri" w:eastAsia="Calibri" w:hAnsi="Calibri" w:cs="Times New Roman"/>
          <w:lang w:val="en-GB" w:eastAsia="en-GB"/>
        </w:rPr>
      </w:pPr>
    </w:p>
    <w:p w14:paraId="3BF50FC5" w14:textId="77777777" w:rsidR="000B4DAC" w:rsidRPr="000B4DAC" w:rsidRDefault="000B4DAC" w:rsidP="000B4DAC">
      <w:pPr>
        <w:autoSpaceDE w:val="0"/>
        <w:autoSpaceDN w:val="0"/>
        <w:adjustRightInd w:val="0"/>
        <w:jc w:val="center"/>
        <w:rPr>
          <w:rFonts w:ascii="Arial" w:eastAsia="MyriadPro-Regular" w:hAnsi="Arial" w:cs="Arial"/>
        </w:rPr>
      </w:pPr>
      <w:r w:rsidRPr="000B4DAC">
        <w:rPr>
          <w:rFonts w:ascii="Arial" w:eastAsia="MyriadPro-Regular" w:hAnsi="Arial" w:cs="Arial"/>
        </w:rPr>
        <w:t>Sandy Alegria</w:t>
      </w:r>
      <w:r w:rsidRPr="000B4DAC">
        <w:rPr>
          <w:rFonts w:ascii="Arial" w:eastAsia="MyriadPro-Regular" w:hAnsi="Arial" w:cs="Arial"/>
          <w:vertAlign w:val="superscript"/>
        </w:rPr>
        <w:t>1</w:t>
      </w:r>
      <w:r w:rsidRPr="000B4DAC">
        <w:rPr>
          <w:rFonts w:ascii="Arial" w:eastAsia="MyriadPro-Regular" w:hAnsi="Arial" w:cs="Arial"/>
        </w:rPr>
        <w:t>, Maria Isabel Santos</w:t>
      </w:r>
      <w:r w:rsidRPr="000B4DAC">
        <w:rPr>
          <w:rFonts w:ascii="Arial" w:eastAsia="MyriadPro-Regular" w:hAnsi="Arial" w:cs="Arial"/>
          <w:vertAlign w:val="superscript"/>
        </w:rPr>
        <w:t>1,2</w:t>
      </w:r>
      <w:r w:rsidRPr="000B4DAC">
        <w:rPr>
          <w:rFonts w:ascii="Arial" w:eastAsia="MyriadPro-Regular" w:hAnsi="Arial" w:cs="Arial"/>
        </w:rPr>
        <w:t>, Rosália Furtado</w:t>
      </w:r>
      <w:r w:rsidRPr="000B4DAC">
        <w:rPr>
          <w:rFonts w:ascii="Arial" w:eastAsia="MyriadPro-Regular" w:hAnsi="Arial" w:cs="Arial"/>
          <w:vertAlign w:val="superscript"/>
        </w:rPr>
        <w:t>3</w:t>
      </w:r>
      <w:r w:rsidRPr="000B4DAC">
        <w:rPr>
          <w:rFonts w:ascii="Arial" w:eastAsia="MyriadPro-Regular" w:hAnsi="Arial" w:cs="Arial"/>
        </w:rPr>
        <w:t>, Cristina Correia</w:t>
      </w:r>
      <w:r w:rsidRPr="000B4DAC">
        <w:rPr>
          <w:rFonts w:ascii="Arial" w:eastAsia="MyriadPro-Regular" w:hAnsi="Arial" w:cs="Arial"/>
          <w:vertAlign w:val="superscript"/>
        </w:rPr>
        <w:t>3</w:t>
      </w:r>
      <w:r w:rsidRPr="000B4DAC">
        <w:rPr>
          <w:rFonts w:ascii="Arial" w:eastAsia="MyriadPro-Regular" w:hAnsi="Arial" w:cs="Arial"/>
        </w:rPr>
        <w:t>, Ana Lima</w:t>
      </w:r>
      <w:r w:rsidRPr="000B4DAC">
        <w:rPr>
          <w:rFonts w:ascii="Arial" w:eastAsia="MyriadPro-Regular" w:hAnsi="Arial" w:cs="Arial"/>
          <w:vertAlign w:val="superscript"/>
        </w:rPr>
        <w:t>1,2</w:t>
      </w:r>
      <w:r w:rsidRPr="000B4DAC">
        <w:rPr>
          <w:rFonts w:ascii="Arial" w:eastAsia="MyriadPro-Regular" w:hAnsi="Arial" w:cs="Arial"/>
        </w:rPr>
        <w:t>, Laurentina Pedroso</w:t>
      </w:r>
      <w:r w:rsidRPr="000B4DAC">
        <w:rPr>
          <w:rFonts w:ascii="Arial" w:eastAsia="MyriadPro-Regular" w:hAnsi="Arial" w:cs="Arial"/>
          <w:vertAlign w:val="superscript"/>
        </w:rPr>
        <w:t>1,2</w:t>
      </w:r>
      <w:r w:rsidRPr="000B4DAC">
        <w:rPr>
          <w:rFonts w:ascii="Arial" w:eastAsia="MyriadPro-Regular" w:hAnsi="Arial" w:cs="Arial"/>
        </w:rPr>
        <w:t xml:space="preserve">, </w:t>
      </w:r>
      <w:r w:rsidRPr="000B4DAC">
        <w:rPr>
          <w:rFonts w:ascii="Arial" w:eastAsia="MyriadPro-Regular" w:hAnsi="Arial" w:cs="Arial"/>
          <w:u w:val="single"/>
        </w:rPr>
        <w:t>Sónia Ramos</w:t>
      </w:r>
      <w:r w:rsidRPr="000B4DAC">
        <w:rPr>
          <w:rFonts w:ascii="Arial" w:eastAsia="MyriadPro-Regular" w:hAnsi="Arial" w:cs="Arial"/>
          <w:u w:val="single"/>
          <w:vertAlign w:val="superscript"/>
        </w:rPr>
        <w:t>1</w:t>
      </w:r>
    </w:p>
    <w:p w14:paraId="436AC00C" w14:textId="77777777" w:rsidR="000B4DAC" w:rsidRPr="000B4DAC" w:rsidRDefault="000B4DAC" w:rsidP="000B4DAC">
      <w:pPr>
        <w:jc w:val="both"/>
        <w:rPr>
          <w:rFonts w:ascii="Arial" w:eastAsia="Calibri" w:hAnsi="Arial" w:cs="Arial"/>
          <w:sz w:val="20"/>
          <w:szCs w:val="20"/>
          <w:vertAlign w:val="superscript"/>
        </w:rPr>
      </w:pPr>
    </w:p>
    <w:p w14:paraId="71567123" w14:textId="77777777" w:rsidR="000B4DAC" w:rsidRPr="000B4DAC" w:rsidRDefault="000B4DAC" w:rsidP="000B4DAC">
      <w:pPr>
        <w:jc w:val="both"/>
        <w:rPr>
          <w:rFonts w:ascii="Arial" w:eastAsia="Calibri" w:hAnsi="Arial" w:cs="Arial"/>
          <w:sz w:val="20"/>
          <w:szCs w:val="20"/>
        </w:rPr>
      </w:pPr>
      <w:r w:rsidRPr="000B4DAC">
        <w:rPr>
          <w:rFonts w:ascii="Arial" w:eastAsia="Calibri" w:hAnsi="Arial" w:cs="Arial"/>
          <w:sz w:val="20"/>
          <w:szCs w:val="20"/>
          <w:vertAlign w:val="superscript"/>
        </w:rPr>
        <w:t>1</w:t>
      </w:r>
      <w:r w:rsidRPr="000B4DAC">
        <w:rPr>
          <w:rFonts w:ascii="Arial" w:eastAsia="Calibri" w:hAnsi="Arial" w:cs="Arial"/>
          <w:sz w:val="20"/>
          <w:szCs w:val="20"/>
        </w:rPr>
        <w:t>Faculty of Veterinary Medicine, Universidade Lusófona, Lisbon, Portugal</w:t>
      </w:r>
    </w:p>
    <w:p w14:paraId="1C3F3152" w14:textId="77777777" w:rsidR="000B4DAC" w:rsidRPr="000B4DAC" w:rsidRDefault="000B4DAC" w:rsidP="000B4DAC">
      <w:pPr>
        <w:ind w:right="-46"/>
        <w:jc w:val="both"/>
        <w:rPr>
          <w:rFonts w:ascii="Arial" w:eastAsia="Calibri" w:hAnsi="Arial" w:cs="Arial"/>
          <w:bCs/>
          <w:sz w:val="20"/>
          <w:szCs w:val="20"/>
        </w:rPr>
      </w:pPr>
      <w:r w:rsidRPr="000B4DAC">
        <w:rPr>
          <w:rFonts w:ascii="Arial" w:eastAsia="Calibri" w:hAnsi="Arial" w:cs="Arial"/>
          <w:sz w:val="20"/>
          <w:szCs w:val="20"/>
          <w:vertAlign w:val="superscript"/>
        </w:rPr>
        <w:t>2</w:t>
      </w:r>
      <w:r w:rsidRPr="000B4DAC">
        <w:rPr>
          <w:rFonts w:ascii="Arial" w:eastAsia="Calibri" w:hAnsi="Arial" w:cs="Arial"/>
          <w:bCs/>
          <w:sz w:val="20"/>
          <w:szCs w:val="20"/>
        </w:rPr>
        <w:t>LEAF—Linking Landscape, Environment, Agriculture and Food Research Center, Associate Laboratory TERRA, Instituto Superior de Agronomia, Universidade de Lisboa, Tapada da Ajuda, Lisboa, Portugal</w:t>
      </w:r>
    </w:p>
    <w:p w14:paraId="3F53D5F4" w14:textId="77777777" w:rsidR="000B4DAC" w:rsidRPr="000B4DAC" w:rsidRDefault="000B4DAC" w:rsidP="000B4DAC">
      <w:pPr>
        <w:jc w:val="both"/>
        <w:rPr>
          <w:rFonts w:ascii="Arial" w:eastAsia="Calibri" w:hAnsi="Arial" w:cs="Arial"/>
          <w:sz w:val="20"/>
          <w:szCs w:val="20"/>
        </w:rPr>
      </w:pPr>
      <w:r w:rsidRPr="000B4DAC">
        <w:rPr>
          <w:rFonts w:ascii="Arial" w:eastAsia="Calibri" w:hAnsi="Arial" w:cs="Arial"/>
          <w:sz w:val="20"/>
          <w:szCs w:val="20"/>
          <w:vertAlign w:val="superscript"/>
        </w:rPr>
        <w:t>3</w:t>
      </w:r>
      <w:r w:rsidRPr="000B4DAC">
        <w:rPr>
          <w:rFonts w:ascii="Arial" w:eastAsia="Calibri" w:hAnsi="Arial" w:cs="Arial"/>
          <w:sz w:val="20"/>
          <w:szCs w:val="20"/>
        </w:rPr>
        <w:t>Microbiology Laboratory of Departamento de Alimentação e Nutrição of Instituto Nacional de Saúde Doutor Ricardo Jorge, Lisbon, Portugal</w:t>
      </w:r>
    </w:p>
    <w:p w14:paraId="0E43D034" w14:textId="77777777" w:rsidR="000B4DAC" w:rsidRPr="000B4DAC" w:rsidRDefault="000B4DAC" w:rsidP="000B4DAC">
      <w:pPr>
        <w:jc w:val="both"/>
        <w:rPr>
          <w:rFonts w:ascii="Arial" w:eastAsia="Calibri" w:hAnsi="Arial" w:cs="Arial"/>
          <w:sz w:val="20"/>
          <w:szCs w:val="20"/>
        </w:rPr>
      </w:pPr>
    </w:p>
    <w:p w14:paraId="5A971735" w14:textId="77777777" w:rsidR="000B4DAC" w:rsidRPr="000B4DAC" w:rsidRDefault="000B4DAC" w:rsidP="000B4DAC">
      <w:pPr>
        <w:spacing w:line="276" w:lineRule="auto"/>
        <w:jc w:val="both"/>
        <w:rPr>
          <w:rFonts w:ascii="Arial" w:eastAsia="Times New Roman" w:hAnsi="Arial" w:cs="Arial"/>
          <w:lang w:val="en-GB" w:eastAsia="pt-PT"/>
        </w:rPr>
      </w:pPr>
      <w:r w:rsidRPr="000B4DAC">
        <w:rPr>
          <w:rFonts w:ascii="Arial" w:eastAsia="Times New Roman" w:hAnsi="Arial" w:cs="Arial"/>
          <w:b/>
          <w:bCs/>
          <w:lang w:val="en-GB" w:eastAsia="pt-PT"/>
        </w:rPr>
        <w:t>Objectives:</w:t>
      </w:r>
      <w:r w:rsidRPr="000B4DAC">
        <w:rPr>
          <w:rFonts w:ascii="MinionPro-Regular" w:eastAsia="MinionPro-Regular" w:hAnsi="Calibri" w:cs="MinionPro-Regular"/>
          <w:lang w:val="en-GB"/>
        </w:rPr>
        <w:t xml:space="preserve"> </w:t>
      </w:r>
      <w:r w:rsidRPr="000B4DAC">
        <w:rPr>
          <w:rFonts w:ascii="Arial" w:eastAsia="Times New Roman" w:hAnsi="Arial" w:cs="Arial"/>
          <w:lang w:val="en-GB" w:eastAsia="pt-PT"/>
        </w:rPr>
        <w:t xml:space="preserve">In this study, it was our goal to evaluate the microbiological quality and safety of takeaway ready-to-eat sushi meals in the region of Lisbon, Portugal.  </w:t>
      </w:r>
    </w:p>
    <w:p w14:paraId="71622E8F" w14:textId="77777777" w:rsidR="000B4DAC" w:rsidRPr="000B4DAC" w:rsidRDefault="000B4DAC" w:rsidP="000B4DAC">
      <w:pPr>
        <w:spacing w:line="276" w:lineRule="auto"/>
        <w:jc w:val="both"/>
        <w:rPr>
          <w:rFonts w:ascii="Arial" w:eastAsia="Times New Roman" w:hAnsi="Arial" w:cs="Arial"/>
          <w:lang w:val="en-GB" w:eastAsia="pt-PT"/>
        </w:rPr>
      </w:pPr>
      <w:r w:rsidRPr="000B4DAC">
        <w:rPr>
          <w:rFonts w:ascii="Arial" w:eastAsia="Times New Roman" w:hAnsi="Arial" w:cs="Arial"/>
          <w:b/>
          <w:bCs/>
          <w:lang w:val="en-GB" w:eastAsia="pt-PT"/>
        </w:rPr>
        <w:t>Materials and Methods:</w:t>
      </w:r>
      <w:r w:rsidRPr="000B4DAC">
        <w:rPr>
          <w:rFonts w:ascii="MinionPro-Regular" w:eastAsia="MinionPro-Regular" w:hAnsi="Calibri" w:cs="MinionPro-Regular"/>
          <w:sz w:val="19"/>
          <w:szCs w:val="19"/>
          <w:lang w:val="en-GB"/>
        </w:rPr>
        <w:t xml:space="preserve"> </w:t>
      </w:r>
      <w:r w:rsidRPr="000B4DAC">
        <w:rPr>
          <w:rFonts w:ascii="Arial" w:eastAsia="Times New Roman" w:hAnsi="Arial" w:cs="Arial"/>
          <w:lang w:val="en-GB" w:eastAsia="pt-PT"/>
        </w:rPr>
        <w:t>A total of 62 sushi samples, with different fish varieties, were purchased in takeaway services (31 from hypermarkets and 31 from a traditional restaurant). An automated test (TEMPO</w:t>
      </w:r>
      <w:r w:rsidRPr="000B4DAC">
        <w:rPr>
          <w:rFonts w:ascii="Arial" w:eastAsia="Times New Roman" w:hAnsi="Arial" w:cs="Arial"/>
          <w:vertAlign w:val="superscript"/>
          <w:lang w:val="en-GB" w:eastAsia="pt-PT"/>
        </w:rPr>
        <w:t>®</w:t>
      </w:r>
      <w:r w:rsidRPr="000B4DAC">
        <w:rPr>
          <w:rFonts w:ascii="Arial" w:eastAsia="Times New Roman" w:hAnsi="Arial" w:cs="Arial"/>
          <w:lang w:val="en-GB" w:eastAsia="pt-PT"/>
        </w:rPr>
        <w:t xml:space="preserve">) for the enumeration of food hygiene and quality indicators was used; and aerobic mesophilic microorganisms, Enterobacteriaceae, </w:t>
      </w:r>
      <w:r w:rsidRPr="000B4DAC">
        <w:rPr>
          <w:rFonts w:ascii="Arial" w:eastAsia="Times New Roman" w:hAnsi="Arial" w:cs="Arial"/>
          <w:i/>
          <w:iCs/>
          <w:lang w:val="en-GB" w:eastAsia="pt-PT"/>
        </w:rPr>
        <w:t>Escherichia</w:t>
      </w:r>
      <w:r w:rsidRPr="000B4DAC">
        <w:rPr>
          <w:rFonts w:ascii="Arial" w:eastAsia="Times New Roman" w:hAnsi="Arial" w:cs="Arial"/>
          <w:lang w:val="en-GB" w:eastAsia="pt-PT"/>
        </w:rPr>
        <w:t xml:space="preserve"> </w:t>
      </w:r>
      <w:r w:rsidRPr="000B4DAC">
        <w:rPr>
          <w:rFonts w:ascii="Arial" w:eastAsia="Times New Roman" w:hAnsi="Arial" w:cs="Arial"/>
          <w:i/>
          <w:iCs/>
          <w:lang w:val="en-GB" w:eastAsia="pt-PT"/>
        </w:rPr>
        <w:t>coli</w:t>
      </w:r>
      <w:r w:rsidRPr="000B4DAC">
        <w:rPr>
          <w:rFonts w:ascii="Arial" w:eastAsia="Times New Roman" w:hAnsi="Arial" w:cs="Arial"/>
          <w:lang w:val="en-GB" w:eastAsia="pt-PT"/>
        </w:rPr>
        <w:t xml:space="preserve">, coagulase-positive </w:t>
      </w:r>
      <w:r w:rsidRPr="000B4DAC">
        <w:rPr>
          <w:rFonts w:ascii="Arial" w:eastAsia="Times New Roman" w:hAnsi="Arial" w:cs="Arial"/>
          <w:i/>
          <w:iCs/>
          <w:lang w:val="en-GB" w:eastAsia="pt-PT"/>
        </w:rPr>
        <w:t>Staphylococci</w:t>
      </w:r>
      <w:r w:rsidRPr="000B4DAC">
        <w:rPr>
          <w:rFonts w:ascii="Arial" w:eastAsia="Times New Roman" w:hAnsi="Arial" w:cs="Arial"/>
          <w:lang w:val="en-GB" w:eastAsia="pt-PT"/>
        </w:rPr>
        <w:t xml:space="preserve"> and </w:t>
      </w:r>
      <w:r w:rsidRPr="000B4DAC">
        <w:rPr>
          <w:rFonts w:ascii="Arial" w:eastAsia="Times New Roman" w:hAnsi="Arial" w:cs="Arial"/>
          <w:i/>
          <w:iCs/>
          <w:lang w:val="en-GB" w:eastAsia="pt-PT"/>
        </w:rPr>
        <w:t>Bacillus cereus</w:t>
      </w:r>
      <w:r w:rsidRPr="000B4DAC">
        <w:rPr>
          <w:rFonts w:ascii="Arial" w:eastAsia="Times New Roman" w:hAnsi="Arial" w:cs="Arial"/>
          <w:lang w:val="en-GB" w:eastAsia="pt-PT"/>
        </w:rPr>
        <w:t xml:space="preserve"> were counted. For </w:t>
      </w:r>
      <w:r w:rsidRPr="000B4DAC">
        <w:rPr>
          <w:rFonts w:ascii="Arial" w:eastAsia="Times New Roman" w:hAnsi="Arial" w:cs="Arial"/>
          <w:i/>
          <w:iCs/>
          <w:lang w:val="en-GB" w:eastAsia="pt-PT"/>
        </w:rPr>
        <w:t xml:space="preserve">Salmonella </w:t>
      </w:r>
      <w:r w:rsidRPr="000B4DAC">
        <w:rPr>
          <w:rFonts w:ascii="Arial" w:eastAsia="Times New Roman" w:hAnsi="Arial" w:cs="Arial"/>
          <w:lang w:val="en-GB" w:eastAsia="pt-PT"/>
        </w:rPr>
        <w:t xml:space="preserve">spp. and </w:t>
      </w:r>
      <w:r w:rsidRPr="000B4DAC">
        <w:rPr>
          <w:rFonts w:ascii="Arial" w:eastAsia="Times New Roman" w:hAnsi="Arial" w:cs="Arial"/>
          <w:i/>
          <w:iCs/>
          <w:lang w:val="en-GB" w:eastAsia="pt-PT"/>
        </w:rPr>
        <w:t>Listeria monocytogenes</w:t>
      </w:r>
      <w:r w:rsidRPr="000B4DAC">
        <w:rPr>
          <w:rFonts w:ascii="Arial" w:eastAsia="Times New Roman" w:hAnsi="Arial" w:cs="Arial"/>
          <w:lang w:val="en-GB" w:eastAsia="pt-PT"/>
        </w:rPr>
        <w:t>, the VIDAS® immunoenzymatic system was used.</w:t>
      </w:r>
      <w:r w:rsidRPr="000B4DAC">
        <w:rPr>
          <w:rFonts w:ascii="MinionPro-Regular" w:eastAsia="MinionPro-Regular" w:hAnsi="Calibri" w:cs="MinionPro-Regular"/>
          <w:lang w:val="en-GB"/>
        </w:rPr>
        <w:t xml:space="preserve"> </w:t>
      </w:r>
      <w:r w:rsidRPr="000B4DAC">
        <w:rPr>
          <w:rFonts w:ascii="Arial" w:eastAsia="Times New Roman" w:hAnsi="Arial" w:cs="Arial"/>
          <w:lang w:val="en-GB" w:eastAsia="pt-PT"/>
        </w:rPr>
        <w:t>The samples were classified as either satisfactory, borderline or unsatisfactory according to the Portuguese guidelines.</w:t>
      </w:r>
    </w:p>
    <w:p w14:paraId="5EA109C6" w14:textId="77777777" w:rsidR="000B4DAC" w:rsidRPr="000B4DAC" w:rsidRDefault="000B4DAC" w:rsidP="000B4DAC">
      <w:pPr>
        <w:spacing w:line="276" w:lineRule="auto"/>
        <w:jc w:val="both"/>
        <w:rPr>
          <w:rFonts w:ascii="Arial" w:eastAsia="Times New Roman" w:hAnsi="Arial" w:cs="Arial"/>
          <w:lang w:val="en-GB" w:eastAsia="pt-PT"/>
        </w:rPr>
      </w:pPr>
      <w:r w:rsidRPr="000B4DAC">
        <w:rPr>
          <w:rFonts w:ascii="Arial" w:eastAsia="Times New Roman" w:hAnsi="Arial" w:cs="Arial"/>
          <w:b/>
          <w:bCs/>
          <w:lang w:val="en-GB" w:eastAsia="pt-PT"/>
        </w:rPr>
        <w:t xml:space="preserve">Results: </w:t>
      </w:r>
      <w:r w:rsidRPr="000B4DAC">
        <w:rPr>
          <w:rFonts w:ascii="Arial" w:eastAsia="Times New Roman" w:hAnsi="Arial" w:cs="Arial"/>
          <w:lang w:val="en-GB" w:eastAsia="pt-PT"/>
        </w:rPr>
        <w:t xml:space="preserve">Of the total samples analysed, 48.4% (30/62) were classified as having an unsatisfactory microbiological level, corresponding to 54.8% (17/31) of the samples from hypermarkets and 41.9% (13/31) of restaurant samples. As for the remaining samples, 35.5% (22/62) were classified with borderline level and only 16.1% (10/62) were classified as having a satisfactory microbiological level. </w:t>
      </w:r>
      <w:r w:rsidRPr="000B4DAC">
        <w:rPr>
          <w:rFonts w:ascii="Arial" w:eastAsia="MinionPro-Regular" w:hAnsi="Arial" w:cs="Arial"/>
          <w:lang w:val="en-GB"/>
        </w:rPr>
        <w:t xml:space="preserve">Concerning fish variety, </w:t>
      </w:r>
      <w:r w:rsidRPr="000B4DAC">
        <w:rPr>
          <w:rFonts w:ascii="Arial" w:eastAsia="Times New Roman" w:hAnsi="Arial" w:cs="Arial"/>
          <w:lang w:val="en-GB" w:eastAsia="pt-PT"/>
        </w:rPr>
        <w:t xml:space="preserve">of the 62 sushi samples analysed, 40.3% (25/62) were made with tuna, 50% (31/62) were made with salmon and 9.7% (6/62) were made with shrimp. Of these, 64% (16/25), 29% (9/31) and 83.4% (5/6) were classified as unsatisfactory, respectively from tuna, salmon and shrimp. Finally, none of pathogens studied, </w:t>
      </w:r>
      <w:r w:rsidRPr="000B4DAC">
        <w:rPr>
          <w:rFonts w:ascii="Arial" w:eastAsia="Times New Roman" w:hAnsi="Arial" w:cs="Arial"/>
          <w:i/>
          <w:iCs/>
          <w:lang w:val="en-GB" w:eastAsia="pt-PT"/>
        </w:rPr>
        <w:t xml:space="preserve">Salmonella </w:t>
      </w:r>
      <w:r w:rsidRPr="000B4DAC">
        <w:rPr>
          <w:rFonts w:ascii="Arial" w:eastAsia="Times New Roman" w:hAnsi="Arial" w:cs="Arial"/>
          <w:lang w:val="en-GB" w:eastAsia="pt-PT"/>
        </w:rPr>
        <w:t xml:space="preserve">spp., </w:t>
      </w:r>
      <w:r w:rsidRPr="000B4DAC">
        <w:rPr>
          <w:rFonts w:ascii="Arial" w:eastAsia="Times New Roman" w:hAnsi="Arial" w:cs="Arial"/>
          <w:i/>
          <w:iCs/>
          <w:lang w:val="en-GB" w:eastAsia="pt-PT"/>
        </w:rPr>
        <w:t xml:space="preserve">L. monocytogenes </w:t>
      </w:r>
      <w:r w:rsidRPr="000B4DAC">
        <w:rPr>
          <w:rFonts w:ascii="Arial" w:eastAsia="Times New Roman" w:hAnsi="Arial" w:cs="Arial"/>
          <w:lang w:val="en-GB" w:eastAsia="pt-PT"/>
        </w:rPr>
        <w:t xml:space="preserve">and </w:t>
      </w:r>
      <w:r w:rsidRPr="000B4DAC">
        <w:rPr>
          <w:rFonts w:ascii="Arial" w:eastAsia="Times New Roman" w:hAnsi="Arial" w:cs="Arial"/>
          <w:i/>
          <w:iCs/>
          <w:lang w:val="en-GB" w:eastAsia="pt-PT"/>
        </w:rPr>
        <w:t xml:space="preserve">Vibrio </w:t>
      </w:r>
      <w:r w:rsidRPr="000B4DAC">
        <w:rPr>
          <w:rFonts w:ascii="Arial" w:eastAsia="Times New Roman" w:hAnsi="Arial" w:cs="Arial"/>
          <w:lang w:val="en-GB" w:eastAsia="pt-PT"/>
        </w:rPr>
        <w:t>spp. was detected in any of the samples under study.</w:t>
      </w:r>
    </w:p>
    <w:p w14:paraId="6300EB70" w14:textId="77777777" w:rsidR="000B4DAC" w:rsidRPr="000B4DAC" w:rsidRDefault="000B4DAC" w:rsidP="000B4DAC">
      <w:pPr>
        <w:spacing w:line="276" w:lineRule="auto"/>
        <w:jc w:val="both"/>
        <w:rPr>
          <w:rFonts w:ascii="Arial" w:eastAsia="Times New Roman" w:hAnsi="Arial" w:cs="Arial"/>
          <w:lang w:val="en-GB" w:eastAsia="pt-PT"/>
        </w:rPr>
      </w:pPr>
      <w:r w:rsidRPr="000B4DAC">
        <w:rPr>
          <w:rFonts w:ascii="Arial" w:eastAsia="Times New Roman" w:hAnsi="Arial" w:cs="Arial"/>
          <w:b/>
          <w:bCs/>
          <w:lang w:val="en-GB" w:eastAsia="pt-PT"/>
        </w:rPr>
        <w:t xml:space="preserve">Conclusions: </w:t>
      </w:r>
      <w:r w:rsidRPr="000B4DAC">
        <w:rPr>
          <w:rFonts w:ascii="Arial" w:eastAsia="Times New Roman" w:hAnsi="Arial" w:cs="Arial"/>
          <w:lang w:val="en-GB" w:eastAsia="pt-PT"/>
        </w:rPr>
        <w:t>Our results indicate the need to improve good practices in takeaway sushi preparation, and since the worst microbiological results were obtained in hypermarkets, this work further suggests that there is an essential need to improve food safety plans in these establishments, to obtain a final product with the desired quality level.</w:t>
      </w:r>
    </w:p>
    <w:p w14:paraId="355500DA" w14:textId="77777777" w:rsidR="000B4DAC" w:rsidRPr="000B4DAC" w:rsidRDefault="000B4DAC" w:rsidP="000B4DAC">
      <w:pPr>
        <w:spacing w:line="276" w:lineRule="auto"/>
        <w:jc w:val="both"/>
        <w:rPr>
          <w:rFonts w:ascii="Arial" w:eastAsia="Times New Roman" w:hAnsi="Arial" w:cs="Arial"/>
          <w:lang w:val="en-GB" w:eastAsia="pt-PT"/>
        </w:rPr>
      </w:pPr>
    </w:p>
    <w:p w14:paraId="190E8AE2" w14:textId="77777777" w:rsidR="000B4DAC" w:rsidRPr="000B4DAC" w:rsidRDefault="000B4DAC" w:rsidP="000B4DAC">
      <w:pPr>
        <w:spacing w:line="360" w:lineRule="auto"/>
        <w:jc w:val="both"/>
        <w:rPr>
          <w:rFonts w:ascii="Arial" w:eastAsia="Times New Roman" w:hAnsi="Arial" w:cs="Arial"/>
          <w:lang w:val="en-GB" w:eastAsia="pt-PT"/>
        </w:rPr>
      </w:pPr>
      <w:r w:rsidRPr="000B4DAC">
        <w:rPr>
          <w:rFonts w:ascii="Arial" w:eastAsia="Times New Roman" w:hAnsi="Arial" w:cs="Arial"/>
          <w:b/>
          <w:bCs/>
          <w:lang w:val="en-GB" w:eastAsia="pt-PT"/>
        </w:rPr>
        <w:t xml:space="preserve">Keywords: </w:t>
      </w:r>
      <w:r w:rsidRPr="000B4DAC">
        <w:rPr>
          <w:rFonts w:ascii="Arial" w:eastAsia="Times New Roman" w:hAnsi="Arial" w:cs="Arial" w:hint="eastAsia"/>
          <w:lang w:val="en-GB" w:eastAsia="pt-PT"/>
        </w:rPr>
        <w:t>Sushi</w:t>
      </w:r>
      <w:r w:rsidRPr="000B4DAC">
        <w:rPr>
          <w:rFonts w:ascii="Arial" w:eastAsia="Times New Roman" w:hAnsi="Arial" w:cs="Arial"/>
          <w:lang w:val="en-GB" w:eastAsia="pt-PT"/>
        </w:rPr>
        <w:t xml:space="preserve">; </w:t>
      </w:r>
      <w:r w:rsidRPr="000B4DAC">
        <w:rPr>
          <w:rFonts w:ascii="Arial" w:eastAsia="Times New Roman" w:hAnsi="Arial" w:cs="Arial" w:hint="eastAsia"/>
          <w:lang w:val="en-GB" w:eastAsia="pt-PT"/>
        </w:rPr>
        <w:t>Pathogenic microorganisms</w:t>
      </w:r>
      <w:r w:rsidRPr="000B4DAC">
        <w:rPr>
          <w:rFonts w:ascii="Arial" w:eastAsia="Times New Roman" w:hAnsi="Arial" w:cs="Arial"/>
          <w:lang w:val="en-GB" w:eastAsia="pt-PT"/>
        </w:rPr>
        <w:t xml:space="preserve">; </w:t>
      </w:r>
      <w:r w:rsidRPr="000B4DAC">
        <w:rPr>
          <w:rFonts w:ascii="Arial" w:eastAsia="Times New Roman" w:hAnsi="Arial" w:cs="Arial" w:hint="eastAsia"/>
          <w:lang w:val="en-GB" w:eastAsia="pt-PT"/>
        </w:rPr>
        <w:t>Good practices</w:t>
      </w:r>
      <w:r w:rsidRPr="000B4DAC">
        <w:rPr>
          <w:rFonts w:ascii="Arial" w:eastAsia="Times New Roman" w:hAnsi="Arial" w:cs="Arial"/>
          <w:lang w:val="en-GB" w:eastAsia="pt-PT"/>
        </w:rPr>
        <w:t xml:space="preserve">; </w:t>
      </w:r>
      <w:r w:rsidRPr="000B4DAC">
        <w:rPr>
          <w:rFonts w:ascii="Arial" w:eastAsia="Times New Roman" w:hAnsi="Arial" w:cs="Arial" w:hint="eastAsia"/>
          <w:lang w:val="en-GB" w:eastAsia="pt-PT"/>
        </w:rPr>
        <w:t>Food</w:t>
      </w:r>
      <w:r w:rsidRPr="000B4DAC">
        <w:rPr>
          <w:rFonts w:ascii="Arial" w:eastAsia="Times New Roman" w:hAnsi="Arial" w:cs="Arial"/>
          <w:lang w:val="en-GB" w:eastAsia="pt-PT"/>
        </w:rPr>
        <w:t xml:space="preserve"> safety.</w:t>
      </w:r>
    </w:p>
    <w:p w14:paraId="5DF2B1DA" w14:textId="77777777" w:rsidR="000B4DAC" w:rsidRPr="000B4DAC" w:rsidRDefault="000B4DAC" w:rsidP="000B4DAC">
      <w:pPr>
        <w:jc w:val="both"/>
        <w:rPr>
          <w:rFonts w:ascii="Arial" w:eastAsia="Times New Roman" w:hAnsi="Arial" w:cs="Arial"/>
          <w:lang w:val="en-GB" w:eastAsia="pt-PT"/>
        </w:rPr>
      </w:pPr>
      <w:r w:rsidRPr="000B4DAC">
        <w:rPr>
          <w:rFonts w:ascii="Arial" w:eastAsia="Times New Roman" w:hAnsi="Arial" w:cs="Arial"/>
          <w:b/>
          <w:bCs/>
          <w:lang w:val="en-GB" w:eastAsia="pt-PT"/>
        </w:rPr>
        <w:t xml:space="preserve">Funding: </w:t>
      </w:r>
      <w:r w:rsidRPr="000B4DAC">
        <w:rPr>
          <w:rFonts w:ascii="Arial" w:eastAsia="Times New Roman" w:hAnsi="Arial" w:cs="Arial"/>
          <w:lang w:val="en-GB" w:eastAsia="pt-PT"/>
        </w:rPr>
        <w:t>This study was supported by a grant by the Faculty of Veterinary Medicine of Universidade Lusófona de Humanidades e Tecnologias.</w:t>
      </w:r>
    </w:p>
    <w:p w14:paraId="68BCC660" w14:textId="3CB8EF68" w:rsidR="002F52BB" w:rsidRPr="000B4DAC" w:rsidRDefault="002F52BB" w:rsidP="000B4DAC"/>
    <w:sectPr w:rsidR="002F52BB" w:rsidRPr="000B4D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0B4DAC"/>
    <w:rsid w:val="00210E5F"/>
    <w:rsid w:val="002F52BB"/>
    <w:rsid w:val="00741223"/>
    <w:rsid w:val="007B46CC"/>
    <w:rsid w:val="007F13FD"/>
    <w:rsid w:val="00902F30"/>
    <w:rsid w:val="00970242"/>
    <w:rsid w:val="00C20DD4"/>
    <w:rsid w:val="00D15287"/>
    <w:rsid w:val="00E33EF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7412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7412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2369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2024-01-11T15:39:00Z</dcterms:created>
  <dcterms:modified xsi:type="dcterms:W3CDTF">2024-01-11T15:39:00Z</dcterms:modified>
</cp:coreProperties>
</file>