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F54D2" w14:textId="77777777" w:rsidR="00E73986" w:rsidRPr="00E73986" w:rsidRDefault="00E73986" w:rsidP="00E73986">
      <w:pPr>
        <w:jc w:val="center"/>
        <w:outlineLvl w:val="1"/>
        <w:rPr>
          <w:rFonts w:ascii="Arial" w:eastAsia="Times New Roman" w:hAnsi="Arial" w:cs="Arial"/>
          <w:b/>
          <w:bCs/>
          <w:color w:val="000000"/>
          <w:sz w:val="28"/>
          <w:szCs w:val="27"/>
          <w:lang w:val="en-US" w:eastAsia="en-GB"/>
        </w:rPr>
      </w:pPr>
      <w:bookmarkStart w:id="0" w:name="_Toc135316786"/>
      <w:r w:rsidRPr="00E73986">
        <w:rPr>
          <w:rFonts w:ascii="Arial" w:eastAsia="Times New Roman" w:hAnsi="Arial" w:cs="Arial"/>
          <w:b/>
          <w:bCs/>
          <w:color w:val="000000"/>
          <w:sz w:val="28"/>
          <w:szCs w:val="27"/>
          <w:lang w:val="en-US" w:eastAsia="en-GB"/>
        </w:rPr>
        <w:t>Evaluation of aerobic oral flora of healthy ball pythons (</w:t>
      </w:r>
      <w:r w:rsidRPr="00E73986">
        <w:rPr>
          <w:rFonts w:ascii="Arial" w:eastAsia="Times New Roman" w:hAnsi="Arial" w:cs="Arial"/>
          <w:b/>
          <w:bCs/>
          <w:i/>
          <w:iCs/>
          <w:color w:val="000000"/>
          <w:sz w:val="28"/>
          <w:szCs w:val="27"/>
          <w:lang w:val="en-US" w:eastAsia="en-GB"/>
        </w:rPr>
        <w:t>Phyton regius</w:t>
      </w:r>
      <w:r w:rsidRPr="00E73986">
        <w:rPr>
          <w:rFonts w:ascii="Arial" w:eastAsia="Times New Roman" w:hAnsi="Arial" w:cs="Arial"/>
          <w:b/>
          <w:bCs/>
          <w:color w:val="000000"/>
          <w:sz w:val="28"/>
          <w:szCs w:val="27"/>
          <w:lang w:val="en-US" w:eastAsia="en-GB"/>
        </w:rPr>
        <w:t>)</w:t>
      </w:r>
      <w:bookmarkEnd w:id="0"/>
    </w:p>
    <w:p w14:paraId="32B5D348" w14:textId="77777777" w:rsidR="00E73986" w:rsidRPr="00E73986" w:rsidRDefault="00E73986" w:rsidP="00E73986">
      <w:pPr>
        <w:rPr>
          <w:rFonts w:ascii="Calibri" w:eastAsia="Calibri" w:hAnsi="Calibri" w:cs="Times New Roman"/>
          <w:highlight w:val="white"/>
          <w:lang w:val="en-US" w:eastAsia="en-GB"/>
        </w:rPr>
      </w:pPr>
    </w:p>
    <w:p w14:paraId="04774694" w14:textId="77777777" w:rsidR="00E73986" w:rsidRPr="00E73986" w:rsidRDefault="00E73986" w:rsidP="00E73986">
      <w:pPr>
        <w:jc w:val="center"/>
        <w:rPr>
          <w:rFonts w:ascii="Arial" w:eastAsia="Times New Roman" w:hAnsi="Arial" w:cs="Arial"/>
          <w:color w:val="000000"/>
          <w:vertAlign w:val="superscript"/>
        </w:rPr>
      </w:pPr>
      <w:r w:rsidRPr="00E73986">
        <w:rPr>
          <w:rFonts w:ascii="Arial" w:eastAsia="Times New Roman" w:hAnsi="Arial" w:cs="Arial"/>
          <w:color w:val="000000"/>
        </w:rPr>
        <w:t>Mafalda Silva</w:t>
      </w:r>
      <w:r w:rsidRPr="00E73986">
        <w:rPr>
          <w:rFonts w:ascii="Arial" w:eastAsia="Times New Roman" w:hAnsi="Arial" w:cs="Arial"/>
          <w:color w:val="000000"/>
          <w:vertAlign w:val="superscript"/>
        </w:rPr>
        <w:t>1</w:t>
      </w:r>
      <w:r w:rsidRPr="00E73986">
        <w:rPr>
          <w:rFonts w:ascii="Arial" w:eastAsia="Times New Roman" w:hAnsi="Arial" w:cs="Arial"/>
          <w:color w:val="000000"/>
        </w:rPr>
        <w:t>, João Antunes</w:t>
      </w:r>
      <w:r w:rsidRPr="00E73986">
        <w:rPr>
          <w:rFonts w:ascii="Arial" w:eastAsia="Times New Roman" w:hAnsi="Arial" w:cs="Arial"/>
          <w:color w:val="000000"/>
          <w:vertAlign w:val="superscript"/>
        </w:rPr>
        <w:t>2</w:t>
      </w:r>
      <w:r w:rsidRPr="00E73986">
        <w:rPr>
          <w:rFonts w:ascii="Arial" w:eastAsia="Times New Roman" w:hAnsi="Arial" w:cs="Arial"/>
          <w:color w:val="000000"/>
        </w:rPr>
        <w:t>, Andreia Valença</w:t>
      </w:r>
      <w:r w:rsidRPr="00E73986">
        <w:rPr>
          <w:rFonts w:ascii="Arial" w:eastAsia="Times New Roman" w:hAnsi="Arial" w:cs="Arial"/>
          <w:color w:val="000000"/>
          <w:vertAlign w:val="superscript"/>
        </w:rPr>
        <w:t>1,3,4</w:t>
      </w:r>
      <w:r w:rsidRPr="00E73986">
        <w:rPr>
          <w:rFonts w:ascii="Arial" w:eastAsia="Times New Roman" w:hAnsi="Arial" w:cs="Arial"/>
          <w:color w:val="000000"/>
        </w:rPr>
        <w:t>, Rui Patricio</w:t>
      </w:r>
      <w:r w:rsidRPr="00E73986">
        <w:rPr>
          <w:rFonts w:ascii="Arial" w:eastAsia="Times New Roman" w:hAnsi="Arial" w:cs="Arial"/>
          <w:color w:val="000000"/>
          <w:vertAlign w:val="superscript"/>
        </w:rPr>
        <w:t>1,5</w:t>
      </w:r>
      <w:r w:rsidRPr="00E73986">
        <w:rPr>
          <w:rFonts w:ascii="Arial" w:eastAsia="Times New Roman" w:hAnsi="Arial" w:cs="Arial"/>
          <w:color w:val="000000"/>
        </w:rPr>
        <w:t>, Eduardo Marcelino</w:t>
      </w:r>
      <w:r w:rsidRPr="00E73986">
        <w:rPr>
          <w:rFonts w:ascii="Arial" w:eastAsia="Times New Roman" w:hAnsi="Arial" w:cs="Arial"/>
          <w:color w:val="000000"/>
          <w:vertAlign w:val="superscript"/>
        </w:rPr>
        <w:t>1,3,4</w:t>
      </w:r>
    </w:p>
    <w:p w14:paraId="6EDB51F0" w14:textId="77777777" w:rsidR="00E73986" w:rsidRPr="00E73986" w:rsidRDefault="00E73986" w:rsidP="00E73986">
      <w:pPr>
        <w:jc w:val="center"/>
        <w:rPr>
          <w:rFonts w:ascii="Arial" w:eastAsia="Times New Roman" w:hAnsi="Arial" w:cs="Arial"/>
          <w:color w:val="000000"/>
          <w:highlight w:val="white"/>
        </w:rPr>
      </w:pPr>
    </w:p>
    <w:p w14:paraId="6EE34A89" w14:textId="77777777" w:rsidR="00E73986" w:rsidRPr="00E73986" w:rsidRDefault="00E73986" w:rsidP="00E73986">
      <w:pPr>
        <w:spacing w:after="60"/>
        <w:rPr>
          <w:rFonts w:ascii="Arial" w:eastAsia="Times New Roman" w:hAnsi="Arial" w:cs="Times New Roman"/>
          <w:bCs/>
          <w:sz w:val="20"/>
          <w:szCs w:val="20"/>
          <w:lang w:val="en-US"/>
        </w:rPr>
      </w:pPr>
      <w:r w:rsidRPr="00E73986">
        <w:rPr>
          <w:rFonts w:ascii="Arial" w:eastAsia="Times New Roman" w:hAnsi="Arial" w:cs="Times New Roman"/>
          <w:bCs/>
          <w:sz w:val="20"/>
          <w:szCs w:val="20"/>
          <w:vertAlign w:val="superscript"/>
          <w:lang w:val="en-US"/>
        </w:rPr>
        <w:t xml:space="preserve">1 </w:t>
      </w:r>
      <w:r w:rsidRPr="00E73986">
        <w:rPr>
          <w:rFonts w:ascii="Arial" w:eastAsia="Times New Roman" w:hAnsi="Arial" w:cs="Times New Roman"/>
          <w:bCs/>
          <w:sz w:val="20"/>
          <w:szCs w:val="20"/>
          <w:lang w:val="en-US"/>
        </w:rPr>
        <w:t>Faculty of Veterinary Medicine, Lusófona University, Lisbon, Portugal</w:t>
      </w:r>
    </w:p>
    <w:p w14:paraId="20AF6EC5" w14:textId="77777777" w:rsidR="00E73986" w:rsidRPr="00E73986" w:rsidRDefault="00E73986" w:rsidP="00E73986">
      <w:pPr>
        <w:spacing w:after="60"/>
        <w:rPr>
          <w:rFonts w:ascii="Arial" w:eastAsia="Times New Roman" w:hAnsi="Arial" w:cs="Times New Roman"/>
          <w:bCs/>
          <w:sz w:val="20"/>
          <w:szCs w:val="20"/>
          <w:lang w:val="en-US"/>
        </w:rPr>
      </w:pPr>
      <w:r w:rsidRPr="00E73986">
        <w:rPr>
          <w:rFonts w:ascii="Arial" w:eastAsia="Times New Roman" w:hAnsi="Arial" w:cs="Times New Roman"/>
          <w:bCs/>
          <w:sz w:val="20"/>
          <w:szCs w:val="20"/>
          <w:vertAlign w:val="superscript"/>
          <w:lang w:val="en-US"/>
        </w:rPr>
        <w:t xml:space="preserve">2 </w:t>
      </w:r>
      <w:r w:rsidRPr="00E73986">
        <w:rPr>
          <w:rFonts w:ascii="Arial" w:eastAsia="Times New Roman" w:hAnsi="Arial" w:cs="Times New Roman"/>
          <w:bCs/>
          <w:sz w:val="20"/>
          <w:szCs w:val="20"/>
          <w:lang w:val="en-US"/>
        </w:rPr>
        <w:t>Faculty of Veterinary Medicine, University of Lisbon, Portugal</w:t>
      </w:r>
    </w:p>
    <w:p w14:paraId="05393EEE" w14:textId="77777777" w:rsidR="00E73986" w:rsidRPr="00E73986" w:rsidRDefault="00E73986" w:rsidP="00E73986">
      <w:pPr>
        <w:spacing w:after="60"/>
        <w:ind w:left="142" w:hanging="142"/>
        <w:rPr>
          <w:rFonts w:ascii="Arial" w:eastAsia="Times New Roman" w:hAnsi="Arial" w:cs="Times New Roman"/>
          <w:bCs/>
          <w:sz w:val="20"/>
          <w:szCs w:val="20"/>
          <w:lang w:val="en-US"/>
        </w:rPr>
      </w:pPr>
      <w:r w:rsidRPr="00E73986">
        <w:rPr>
          <w:rFonts w:ascii="Arial" w:eastAsia="Times New Roman" w:hAnsi="Arial" w:cs="Times New Roman"/>
          <w:bCs/>
          <w:sz w:val="20"/>
          <w:szCs w:val="20"/>
          <w:vertAlign w:val="superscript"/>
          <w:lang w:val="en-US"/>
        </w:rPr>
        <w:t xml:space="preserve">3 </w:t>
      </w:r>
      <w:r w:rsidRPr="00E73986">
        <w:rPr>
          <w:rFonts w:ascii="Arial" w:eastAsia="Times New Roman" w:hAnsi="Arial" w:cs="Times New Roman"/>
          <w:bCs/>
          <w:sz w:val="20"/>
          <w:szCs w:val="20"/>
          <w:lang w:val="en-US"/>
        </w:rPr>
        <w:t>CIISA – Centre for Interdisciplinary Research in Animal Health, Faculty of Veterinary Medicine, University of Lisbon, Portugal</w:t>
      </w:r>
    </w:p>
    <w:p w14:paraId="002FEF41" w14:textId="77777777" w:rsidR="00E73986" w:rsidRPr="00E73986" w:rsidRDefault="00E73986" w:rsidP="00E73986">
      <w:pPr>
        <w:spacing w:after="60"/>
        <w:rPr>
          <w:rFonts w:ascii="Arial" w:eastAsia="Times New Roman" w:hAnsi="Arial" w:cs="Times New Roman"/>
          <w:bCs/>
          <w:sz w:val="20"/>
          <w:szCs w:val="20"/>
          <w:lang w:val="en-US"/>
        </w:rPr>
      </w:pPr>
      <w:r w:rsidRPr="00E73986">
        <w:rPr>
          <w:rFonts w:ascii="Arial" w:eastAsia="Times New Roman" w:hAnsi="Arial" w:cs="Times New Roman"/>
          <w:bCs/>
          <w:sz w:val="20"/>
          <w:szCs w:val="20"/>
          <w:vertAlign w:val="superscript"/>
          <w:lang w:val="en-US"/>
        </w:rPr>
        <w:t xml:space="preserve">4 </w:t>
      </w:r>
      <w:r w:rsidRPr="00E73986">
        <w:rPr>
          <w:rFonts w:ascii="Arial" w:eastAsia="Times New Roman" w:hAnsi="Arial" w:cs="Times New Roman"/>
          <w:bCs/>
          <w:sz w:val="20"/>
          <w:szCs w:val="20"/>
          <w:lang w:val="en-US"/>
        </w:rPr>
        <w:t>Associate Laboratory for Animal and Veterinary Sciences (AL4AnimalS), Lisbon, Portugal</w:t>
      </w:r>
    </w:p>
    <w:p w14:paraId="49FA4C55" w14:textId="77777777" w:rsidR="00E73986" w:rsidRPr="00E73986" w:rsidRDefault="00E73986" w:rsidP="00E73986">
      <w:pPr>
        <w:spacing w:after="60"/>
        <w:rPr>
          <w:rFonts w:ascii="Arial" w:eastAsia="Times New Roman" w:hAnsi="Arial" w:cs="Times New Roman"/>
          <w:bCs/>
          <w:sz w:val="20"/>
          <w:szCs w:val="20"/>
        </w:rPr>
      </w:pPr>
      <w:r w:rsidRPr="00E73986">
        <w:rPr>
          <w:rFonts w:ascii="Arial" w:eastAsia="Times New Roman" w:hAnsi="Arial" w:cs="Times New Roman"/>
          <w:bCs/>
          <w:sz w:val="20"/>
          <w:szCs w:val="20"/>
          <w:vertAlign w:val="superscript"/>
        </w:rPr>
        <w:t xml:space="preserve">5 </w:t>
      </w:r>
      <w:proofErr w:type="spellStart"/>
      <w:r w:rsidRPr="00E73986">
        <w:rPr>
          <w:rFonts w:ascii="Arial" w:eastAsia="Times New Roman" w:hAnsi="Arial" w:cs="Times New Roman"/>
          <w:bCs/>
          <w:sz w:val="20"/>
          <w:szCs w:val="20"/>
        </w:rPr>
        <w:t>All</w:t>
      </w:r>
      <w:proofErr w:type="spellEnd"/>
      <w:r w:rsidRPr="00E73986">
        <w:rPr>
          <w:rFonts w:ascii="Arial" w:eastAsia="Times New Roman" w:hAnsi="Arial" w:cs="Times New Roman"/>
          <w:bCs/>
          <w:sz w:val="20"/>
          <w:szCs w:val="20"/>
        </w:rPr>
        <w:t xml:space="preserve"> </w:t>
      </w:r>
      <w:proofErr w:type="spellStart"/>
      <w:r w:rsidRPr="00E73986">
        <w:rPr>
          <w:rFonts w:ascii="Arial" w:eastAsia="Times New Roman" w:hAnsi="Arial" w:cs="Times New Roman"/>
          <w:bCs/>
          <w:sz w:val="20"/>
          <w:szCs w:val="20"/>
        </w:rPr>
        <w:t>Pets</w:t>
      </w:r>
      <w:proofErr w:type="spellEnd"/>
      <w:r w:rsidRPr="00E73986">
        <w:rPr>
          <w:rFonts w:ascii="Arial" w:eastAsia="Times New Roman" w:hAnsi="Arial" w:cs="Times New Roman"/>
          <w:bCs/>
          <w:sz w:val="20"/>
          <w:szCs w:val="20"/>
        </w:rPr>
        <w:t xml:space="preserve"> – Clínica Veterinária de Tires, São Domingos de Rana, Portugal</w:t>
      </w:r>
    </w:p>
    <w:p w14:paraId="224F29CE" w14:textId="77777777" w:rsidR="00E73986" w:rsidRPr="00E73986" w:rsidRDefault="00E73986" w:rsidP="00E73986">
      <w:pPr>
        <w:jc w:val="both"/>
        <w:rPr>
          <w:rFonts w:ascii="Arial" w:eastAsia="Times New Roman" w:hAnsi="Arial" w:cs="Arial"/>
          <w:color w:val="000000"/>
          <w:highlight w:val="white"/>
        </w:rPr>
      </w:pPr>
    </w:p>
    <w:p w14:paraId="52038C4A" w14:textId="77777777" w:rsidR="00E73986" w:rsidRPr="00E73986" w:rsidRDefault="00E73986" w:rsidP="00E73986">
      <w:pPr>
        <w:jc w:val="both"/>
        <w:rPr>
          <w:rFonts w:ascii="Arial" w:eastAsia="Times New Roman" w:hAnsi="Arial" w:cs="Arial"/>
          <w:color w:val="000000"/>
          <w:highlight w:val="white"/>
          <w:lang w:val="en-GB"/>
        </w:rPr>
      </w:pPr>
      <w:r w:rsidRPr="00E73986">
        <w:rPr>
          <w:rFonts w:ascii="Arial" w:eastAsia="Times New Roman" w:hAnsi="Arial" w:cs="Arial"/>
          <w:b/>
          <w:bCs/>
          <w:color w:val="000000"/>
          <w:highlight w:val="white"/>
          <w:lang w:val="en-US"/>
        </w:rPr>
        <w:t>Objectives:</w:t>
      </w:r>
      <w:r w:rsidRPr="00E73986">
        <w:rPr>
          <w:rFonts w:ascii="Arial" w:eastAsia="Times New Roman" w:hAnsi="Arial" w:cs="Arial"/>
          <w:color w:val="000000"/>
          <w:highlight w:val="white"/>
          <w:lang w:val="en-US"/>
        </w:rPr>
        <w:t xml:space="preserve"> </w:t>
      </w:r>
      <w:r w:rsidRPr="00E73986">
        <w:rPr>
          <w:rFonts w:ascii="Arial" w:eastAsia="Times New Roman" w:hAnsi="Arial" w:cs="Arial"/>
          <w:color w:val="000000"/>
          <w:lang w:val="en-US"/>
        </w:rPr>
        <w:t>Ball pythons are among the most common species commercially bred and kept as exotic pets. Pet reptiles are reported reservoirs of a variety of pathogenic bacteria and a potential source of multidrug-resistant bacteria transmission, representing a serious concern for public health safety. Reptile bacterial diseases can be caused by primary pathogens but are frequently the result of immunocompromising conditions that allow overgrowing of commensal bacteria. Thus, to correctly interpret the significance of bacterial isolates from ill animals, there is the need to first determine the normal flora, that is relatively unknown in ball pythons.</w:t>
      </w:r>
    </w:p>
    <w:p w14:paraId="6D29E585" w14:textId="77777777" w:rsidR="00E73986" w:rsidRPr="00E73986" w:rsidRDefault="00E73986" w:rsidP="00E73986">
      <w:pPr>
        <w:jc w:val="both"/>
        <w:rPr>
          <w:rFonts w:ascii="Arial" w:eastAsia="Times New Roman" w:hAnsi="Arial" w:cs="Arial"/>
          <w:color w:val="000000"/>
          <w:lang w:val="en-US"/>
        </w:rPr>
      </w:pPr>
      <w:r w:rsidRPr="00E73986">
        <w:rPr>
          <w:rFonts w:ascii="Arial" w:eastAsia="Times New Roman" w:hAnsi="Arial" w:cs="Arial"/>
          <w:b/>
          <w:bCs/>
          <w:color w:val="000000"/>
          <w:highlight w:val="white"/>
          <w:lang w:val="en-US"/>
        </w:rPr>
        <w:t xml:space="preserve">Materials and Methods: </w:t>
      </w:r>
      <w:r w:rsidRPr="00E73986">
        <w:rPr>
          <w:rFonts w:ascii="Arial" w:eastAsia="Times New Roman" w:hAnsi="Arial" w:cs="Arial"/>
          <w:color w:val="000000"/>
          <w:lang w:val="en-US"/>
        </w:rPr>
        <w:t>Oral swabs were aseptically collected from twenty healthy adult ball pythons and preserved in Amies medium. Samples were supplemented with Brain-heart infusion broth and incubated at 37ºC for 24h. They were then streaked onto selective and chromogenic media plates and again incubated at 37ºC for 24-72h. After Gram staining, bacteria were identified using a VITEK® 2 system.</w:t>
      </w:r>
    </w:p>
    <w:p w14:paraId="7B571C12" w14:textId="77777777" w:rsidR="00E73986" w:rsidRPr="00E73986" w:rsidRDefault="00E73986" w:rsidP="00E73986">
      <w:pPr>
        <w:jc w:val="both"/>
        <w:rPr>
          <w:rFonts w:ascii="Arial" w:eastAsia="Times New Roman" w:hAnsi="Arial" w:cs="Arial"/>
          <w:color w:val="000000"/>
          <w:highlight w:val="white"/>
          <w:lang w:val="en-US"/>
        </w:rPr>
      </w:pPr>
      <w:r w:rsidRPr="00E73986">
        <w:rPr>
          <w:rFonts w:ascii="Arial" w:eastAsia="Times New Roman" w:hAnsi="Arial" w:cs="Arial"/>
          <w:b/>
          <w:bCs/>
          <w:color w:val="000000"/>
          <w:lang w:val="en-US"/>
        </w:rPr>
        <w:t>Results:</w:t>
      </w:r>
      <w:r w:rsidRPr="00E73986">
        <w:rPr>
          <w:rFonts w:ascii="Arial" w:eastAsia="Times New Roman" w:hAnsi="Arial" w:cs="Arial"/>
          <w:color w:val="000000"/>
          <w:lang w:val="en-US"/>
        </w:rPr>
        <w:t xml:space="preserve"> A total of 57 colonies were isolated, resulting in the identification of 12 species, five Gram-positive (</w:t>
      </w:r>
      <w:r w:rsidRPr="00E73986">
        <w:rPr>
          <w:rFonts w:ascii="Arial" w:eastAsia="Times New Roman" w:hAnsi="Arial" w:cs="Arial"/>
          <w:i/>
          <w:iCs/>
          <w:color w:val="000000"/>
          <w:lang w:val="en-US"/>
        </w:rPr>
        <w:t>Enterococcus faecium</w:t>
      </w:r>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 xml:space="preserve">E. </w:t>
      </w:r>
      <w:proofErr w:type="spellStart"/>
      <w:r w:rsidRPr="00E73986">
        <w:rPr>
          <w:rFonts w:ascii="Arial" w:eastAsia="Times New Roman" w:hAnsi="Arial" w:cs="Arial"/>
          <w:i/>
          <w:iCs/>
          <w:color w:val="000000"/>
          <w:lang w:val="en-US"/>
        </w:rPr>
        <w:t>gallinarum</w:t>
      </w:r>
      <w:proofErr w:type="spellEnd"/>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 xml:space="preserve">Staphylococcus </w:t>
      </w:r>
      <w:proofErr w:type="spellStart"/>
      <w:r w:rsidRPr="00E73986">
        <w:rPr>
          <w:rFonts w:ascii="Arial" w:eastAsia="Times New Roman" w:hAnsi="Arial" w:cs="Arial"/>
          <w:i/>
          <w:iCs/>
          <w:color w:val="000000"/>
          <w:lang w:val="en-US"/>
        </w:rPr>
        <w:t>xylosus</w:t>
      </w:r>
      <w:proofErr w:type="spellEnd"/>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 xml:space="preserve">S. </w:t>
      </w:r>
      <w:proofErr w:type="spellStart"/>
      <w:r w:rsidRPr="00E73986">
        <w:rPr>
          <w:rFonts w:ascii="Arial" w:eastAsia="Times New Roman" w:hAnsi="Arial" w:cs="Arial"/>
          <w:i/>
          <w:iCs/>
          <w:color w:val="000000"/>
          <w:lang w:val="en-US"/>
        </w:rPr>
        <w:t>sciuri</w:t>
      </w:r>
      <w:proofErr w:type="spellEnd"/>
      <w:r w:rsidRPr="00E73986">
        <w:rPr>
          <w:rFonts w:ascii="Arial" w:eastAsia="Times New Roman" w:hAnsi="Arial" w:cs="Arial"/>
          <w:color w:val="000000"/>
          <w:lang w:val="en-US"/>
        </w:rPr>
        <w:t xml:space="preserve">, and </w:t>
      </w:r>
      <w:r w:rsidRPr="00E73986">
        <w:rPr>
          <w:rFonts w:ascii="Arial" w:eastAsia="Times New Roman" w:hAnsi="Arial" w:cs="Arial"/>
          <w:i/>
          <w:iCs/>
          <w:color w:val="000000"/>
          <w:lang w:val="en-US"/>
        </w:rPr>
        <w:t>Micrococcus luteus</w:t>
      </w:r>
      <w:r w:rsidRPr="00E73986">
        <w:rPr>
          <w:rFonts w:ascii="Arial" w:eastAsia="Times New Roman" w:hAnsi="Arial" w:cs="Arial"/>
          <w:color w:val="000000"/>
          <w:lang w:val="en-US"/>
        </w:rPr>
        <w:t>) and seven Gram-negative (</w:t>
      </w:r>
      <w:r w:rsidRPr="00E73986">
        <w:rPr>
          <w:rFonts w:ascii="Arial" w:eastAsia="Times New Roman" w:hAnsi="Arial" w:cs="Arial"/>
          <w:i/>
          <w:iCs/>
          <w:color w:val="000000"/>
          <w:lang w:val="en-US"/>
        </w:rPr>
        <w:t xml:space="preserve">Aeromonas </w:t>
      </w:r>
      <w:proofErr w:type="spellStart"/>
      <w:r w:rsidRPr="00E73986">
        <w:rPr>
          <w:rFonts w:ascii="Arial" w:eastAsia="Times New Roman" w:hAnsi="Arial" w:cs="Arial"/>
          <w:i/>
          <w:iCs/>
          <w:color w:val="000000"/>
          <w:lang w:val="en-US"/>
        </w:rPr>
        <w:t>hydrophila</w:t>
      </w:r>
      <w:proofErr w:type="spellEnd"/>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Salmonella</w:t>
      </w:r>
      <w:r w:rsidRPr="00E73986">
        <w:rPr>
          <w:rFonts w:ascii="Arial" w:eastAsia="Times New Roman" w:hAnsi="Arial" w:cs="Arial"/>
          <w:color w:val="000000"/>
          <w:lang w:val="en-US"/>
        </w:rPr>
        <w:t xml:space="preserve"> spp., </w:t>
      </w:r>
      <w:proofErr w:type="spellStart"/>
      <w:r w:rsidRPr="00E73986">
        <w:rPr>
          <w:rFonts w:ascii="Arial" w:eastAsia="Times New Roman" w:hAnsi="Arial" w:cs="Arial"/>
          <w:i/>
          <w:iCs/>
          <w:color w:val="000000"/>
          <w:lang w:val="en-US"/>
        </w:rPr>
        <w:t>Morganella</w:t>
      </w:r>
      <w:proofErr w:type="spellEnd"/>
      <w:r w:rsidRPr="00E73986">
        <w:rPr>
          <w:rFonts w:ascii="Arial" w:eastAsia="Times New Roman" w:hAnsi="Arial" w:cs="Arial"/>
          <w:i/>
          <w:iCs/>
          <w:color w:val="000000"/>
          <w:lang w:val="en-US"/>
        </w:rPr>
        <w:t xml:space="preserve"> morganii</w:t>
      </w:r>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Acinetobacter</w:t>
      </w:r>
      <w:r w:rsidRPr="00E73986">
        <w:rPr>
          <w:rFonts w:ascii="Arial" w:eastAsia="Times New Roman" w:hAnsi="Arial" w:cs="Arial"/>
          <w:color w:val="000000"/>
          <w:lang w:val="en-US"/>
        </w:rPr>
        <w:t xml:space="preserve"> spp., </w:t>
      </w:r>
      <w:r w:rsidRPr="00E73986">
        <w:rPr>
          <w:rFonts w:ascii="Arial" w:eastAsia="Times New Roman" w:hAnsi="Arial" w:cs="Arial"/>
          <w:i/>
          <w:iCs/>
          <w:color w:val="000000"/>
          <w:lang w:val="en-US"/>
        </w:rPr>
        <w:t>Enterobacter</w:t>
      </w:r>
      <w:r w:rsidRPr="00E73986">
        <w:rPr>
          <w:rFonts w:ascii="Arial" w:eastAsia="Times New Roman" w:hAnsi="Arial" w:cs="Arial"/>
          <w:color w:val="000000"/>
          <w:lang w:val="en-US"/>
        </w:rPr>
        <w:t xml:space="preserve"> spp., </w:t>
      </w:r>
      <w:r w:rsidRPr="00E73986">
        <w:rPr>
          <w:rFonts w:ascii="Arial" w:eastAsia="Times New Roman" w:hAnsi="Arial" w:cs="Arial"/>
          <w:i/>
          <w:iCs/>
          <w:color w:val="000000"/>
          <w:lang w:val="en-US"/>
        </w:rPr>
        <w:t>Klebsiella</w:t>
      </w:r>
      <w:r w:rsidRPr="00E73986">
        <w:rPr>
          <w:rFonts w:ascii="Arial" w:eastAsia="Times New Roman" w:hAnsi="Arial" w:cs="Arial"/>
          <w:color w:val="000000"/>
          <w:lang w:val="en-US"/>
        </w:rPr>
        <w:t xml:space="preserve"> </w:t>
      </w:r>
      <w:r w:rsidRPr="00E73986">
        <w:rPr>
          <w:rFonts w:ascii="Arial" w:eastAsia="Times New Roman" w:hAnsi="Arial" w:cs="Arial"/>
          <w:i/>
          <w:iCs/>
          <w:color w:val="000000"/>
          <w:lang w:val="en-US"/>
        </w:rPr>
        <w:t>pneumoniae</w:t>
      </w:r>
      <w:r w:rsidRPr="00E73986">
        <w:rPr>
          <w:rFonts w:ascii="Arial" w:eastAsia="Times New Roman" w:hAnsi="Arial" w:cs="Arial"/>
          <w:color w:val="000000"/>
          <w:lang w:val="en-US"/>
        </w:rPr>
        <w:t xml:space="preserve">, and </w:t>
      </w:r>
      <w:r w:rsidRPr="00E73986">
        <w:rPr>
          <w:rFonts w:ascii="Arial" w:eastAsia="Times New Roman" w:hAnsi="Arial" w:cs="Arial"/>
          <w:i/>
          <w:iCs/>
          <w:color w:val="000000"/>
          <w:lang w:val="en-US"/>
        </w:rPr>
        <w:t>Pseudomonas aeruginosa</w:t>
      </w:r>
      <w:r w:rsidRPr="00E73986">
        <w:rPr>
          <w:rFonts w:ascii="Arial" w:eastAsia="Times New Roman" w:hAnsi="Arial" w:cs="Arial"/>
          <w:color w:val="000000"/>
          <w:lang w:val="en-US"/>
        </w:rPr>
        <w:t>).</w:t>
      </w:r>
    </w:p>
    <w:p w14:paraId="57DCC903" w14:textId="77777777" w:rsidR="00E73986" w:rsidRPr="00E73986" w:rsidRDefault="00E73986" w:rsidP="00E73986">
      <w:pPr>
        <w:jc w:val="both"/>
        <w:rPr>
          <w:rFonts w:ascii="Arial" w:eastAsia="Times New Roman" w:hAnsi="Arial" w:cs="Arial"/>
          <w:lang w:val="en-US"/>
        </w:rPr>
      </w:pPr>
      <w:r w:rsidRPr="00E73986">
        <w:rPr>
          <w:rFonts w:ascii="Arial" w:eastAsia="Times New Roman" w:hAnsi="Arial" w:cs="Arial"/>
          <w:b/>
          <w:bCs/>
          <w:highlight w:val="white"/>
          <w:lang w:val="en-US"/>
        </w:rPr>
        <w:t>Conclusions:</w:t>
      </w:r>
      <w:r w:rsidRPr="00E73986">
        <w:rPr>
          <w:rFonts w:ascii="Arial" w:eastAsia="Times New Roman" w:hAnsi="Arial" w:cs="Arial"/>
          <w:highlight w:val="white"/>
          <w:lang w:val="en-US"/>
        </w:rPr>
        <w:t xml:space="preserve"> </w:t>
      </w:r>
      <w:r w:rsidRPr="00E73986">
        <w:rPr>
          <w:rFonts w:ascii="Arial" w:eastAsia="Times New Roman" w:hAnsi="Arial" w:cs="Arial"/>
          <w:lang w:val="en-US"/>
        </w:rPr>
        <w:t xml:space="preserve">This study is a contribute to the establishment of ball pythons’ normal oral flora and identifies potentially pathogenic bacteria. These findings caution the need to further characterize the normal flora in this species. Ongoing studies will provide more data on the normal oral and cloacal bacterial flora of </w:t>
      </w:r>
      <w:r w:rsidRPr="00E73986">
        <w:rPr>
          <w:rFonts w:ascii="Arial" w:eastAsia="Times New Roman" w:hAnsi="Arial" w:cs="Arial"/>
          <w:i/>
          <w:iCs/>
          <w:lang w:val="en-US"/>
        </w:rPr>
        <w:t>Python regius</w:t>
      </w:r>
      <w:r w:rsidRPr="00E73986">
        <w:rPr>
          <w:rFonts w:ascii="Arial" w:eastAsia="Times New Roman" w:hAnsi="Arial" w:cs="Arial"/>
          <w:lang w:val="en-US"/>
        </w:rPr>
        <w:t xml:space="preserve"> and evaluate the antibiotic susceptibility of this flora. This will allow us to assess the zoonotic potential of ball pythons by identifying potentially human pathogens and multidrug-resistant bacteria.</w:t>
      </w:r>
    </w:p>
    <w:p w14:paraId="4C185646" w14:textId="77777777" w:rsidR="00E73986" w:rsidRPr="00E73986" w:rsidRDefault="00E73986" w:rsidP="00E73986">
      <w:pPr>
        <w:jc w:val="both"/>
        <w:rPr>
          <w:rFonts w:ascii="Arial" w:eastAsia="Times New Roman" w:hAnsi="Arial" w:cs="Arial"/>
          <w:lang w:val="en-US"/>
        </w:rPr>
      </w:pPr>
    </w:p>
    <w:p w14:paraId="5CB2A1A1" w14:textId="77777777" w:rsidR="00E73986" w:rsidRPr="00E73986" w:rsidRDefault="00E73986" w:rsidP="00E73986">
      <w:pPr>
        <w:jc w:val="both"/>
        <w:rPr>
          <w:rFonts w:ascii="Arial" w:eastAsia="Times New Roman" w:hAnsi="Arial" w:cs="Arial"/>
          <w:color w:val="000000"/>
          <w:highlight w:val="white"/>
          <w:lang w:val="en-US"/>
        </w:rPr>
      </w:pPr>
      <w:r w:rsidRPr="00E73986">
        <w:rPr>
          <w:rFonts w:ascii="Arial" w:eastAsia="Times New Roman" w:hAnsi="Arial" w:cs="Arial"/>
          <w:b/>
          <w:bCs/>
          <w:color w:val="000000"/>
          <w:highlight w:val="white"/>
          <w:lang w:val="en-US"/>
        </w:rPr>
        <w:t>Keywords:</w:t>
      </w:r>
      <w:r w:rsidRPr="00E73986">
        <w:rPr>
          <w:rFonts w:ascii="Arial" w:eastAsia="Times New Roman" w:hAnsi="Arial" w:cs="Arial"/>
          <w:color w:val="000000"/>
          <w:highlight w:val="white"/>
          <w:lang w:val="en-US"/>
        </w:rPr>
        <w:t xml:space="preserve"> </w:t>
      </w:r>
      <w:r w:rsidRPr="00E73986">
        <w:rPr>
          <w:rFonts w:ascii="Arial" w:eastAsia="Calibri" w:hAnsi="Arial" w:cs="Arial"/>
          <w:lang w:val="en-GB"/>
        </w:rPr>
        <w:t xml:space="preserve">Oral flora; Aerobic bacteria; </w:t>
      </w:r>
      <w:r w:rsidRPr="00E73986">
        <w:rPr>
          <w:rFonts w:ascii="Arial" w:eastAsia="Times New Roman" w:hAnsi="Arial" w:cs="Arial"/>
          <w:lang w:val="en-US"/>
        </w:rPr>
        <w:t>Multidrug-resistant bacteria;</w:t>
      </w:r>
      <w:r w:rsidRPr="00E73986">
        <w:rPr>
          <w:rFonts w:ascii="Arial" w:eastAsia="Calibri" w:hAnsi="Arial" w:cs="Arial"/>
          <w:i/>
          <w:iCs/>
          <w:lang w:val="en-GB"/>
        </w:rPr>
        <w:t xml:space="preserve"> Python regius</w:t>
      </w:r>
      <w:r w:rsidRPr="00E73986">
        <w:rPr>
          <w:rFonts w:ascii="Arial" w:eastAsia="Calibri" w:hAnsi="Arial" w:cs="Arial"/>
          <w:lang w:val="en-GB"/>
        </w:rPr>
        <w:t>.</w:t>
      </w:r>
    </w:p>
    <w:p w14:paraId="4BEF9466" w14:textId="77777777" w:rsidR="00E73986" w:rsidRPr="00E73986" w:rsidRDefault="00E73986" w:rsidP="00E73986">
      <w:pPr>
        <w:jc w:val="both"/>
        <w:rPr>
          <w:rFonts w:ascii="Arial" w:eastAsia="Times New Roman" w:hAnsi="Arial" w:cs="Arial"/>
          <w:b/>
          <w:bCs/>
          <w:color w:val="000000"/>
          <w:highlight w:val="white"/>
          <w:lang w:val="en-US"/>
        </w:rPr>
      </w:pPr>
    </w:p>
    <w:p w14:paraId="411CF102" w14:textId="77777777" w:rsidR="00E73986" w:rsidRPr="00E73986" w:rsidRDefault="00E73986" w:rsidP="00E73986">
      <w:pPr>
        <w:jc w:val="both"/>
        <w:rPr>
          <w:rFonts w:ascii="Arial" w:eastAsia="Times New Roman" w:hAnsi="Arial" w:cs="Arial"/>
          <w:color w:val="000000"/>
          <w:highlight w:val="white"/>
          <w:lang w:val="en-US"/>
        </w:rPr>
      </w:pPr>
      <w:r w:rsidRPr="00E73986">
        <w:rPr>
          <w:rFonts w:ascii="Arial" w:eastAsia="Times New Roman" w:hAnsi="Arial" w:cs="Arial"/>
          <w:b/>
          <w:bCs/>
          <w:color w:val="000000"/>
          <w:highlight w:val="white"/>
          <w:lang w:val="en-US"/>
        </w:rPr>
        <w:t>Funding</w:t>
      </w:r>
      <w:r w:rsidRPr="00E73986">
        <w:rPr>
          <w:rFonts w:ascii="Arial" w:eastAsia="Times New Roman" w:hAnsi="Arial" w:cs="Arial"/>
          <w:color w:val="000000"/>
          <w:highlight w:val="white"/>
          <w:lang w:val="en-US"/>
        </w:rPr>
        <w:t>: 2022/23 Exploratory project grant (</w:t>
      </w:r>
      <w:proofErr w:type="spellStart"/>
      <w:r w:rsidRPr="00E73986">
        <w:rPr>
          <w:rFonts w:ascii="Arial" w:eastAsia="Times New Roman" w:hAnsi="Arial" w:cs="Arial"/>
          <w:color w:val="000000"/>
          <w:lang w:val="en-US"/>
        </w:rPr>
        <w:t>PythonFlora</w:t>
      </w:r>
      <w:proofErr w:type="spellEnd"/>
      <w:r w:rsidRPr="00E73986">
        <w:rPr>
          <w:rFonts w:ascii="Arial" w:eastAsia="Times New Roman" w:hAnsi="Arial" w:cs="Arial"/>
          <w:color w:val="000000"/>
          <w:highlight w:val="white"/>
          <w:lang w:val="en-US"/>
        </w:rPr>
        <w:t xml:space="preserve">), from Faculty of Veterinary </w:t>
      </w:r>
      <w:r w:rsidRPr="00E73986">
        <w:rPr>
          <w:rFonts w:ascii="Arial" w:eastAsia="Times New Roman" w:hAnsi="Arial" w:cs="Arial"/>
          <w:highlight w:val="white"/>
          <w:lang w:val="en-US"/>
        </w:rPr>
        <w:t>M</w:t>
      </w:r>
      <w:r w:rsidRPr="00E73986">
        <w:rPr>
          <w:rFonts w:ascii="Arial" w:eastAsia="Times New Roman" w:hAnsi="Arial" w:cs="Arial"/>
          <w:color w:val="000000"/>
          <w:highlight w:val="white"/>
          <w:lang w:val="en-US"/>
        </w:rPr>
        <w:t>edicine, Lusófona University (FMV-</w:t>
      </w:r>
      <w:proofErr w:type="spellStart"/>
      <w:r w:rsidRPr="00E73986">
        <w:rPr>
          <w:rFonts w:ascii="Arial" w:eastAsia="Times New Roman" w:hAnsi="Arial" w:cs="Arial"/>
          <w:color w:val="000000"/>
          <w:highlight w:val="white"/>
          <w:lang w:val="en-US"/>
        </w:rPr>
        <w:t>ULusófona</w:t>
      </w:r>
      <w:proofErr w:type="spellEnd"/>
      <w:r w:rsidRPr="00E73986">
        <w:rPr>
          <w:rFonts w:ascii="Arial" w:eastAsia="Times New Roman" w:hAnsi="Arial" w:cs="Arial"/>
          <w:color w:val="000000"/>
          <w:highlight w:val="white"/>
          <w:lang w:val="en-US"/>
        </w:rPr>
        <w:t>).</w:t>
      </w:r>
    </w:p>
    <w:p w14:paraId="68BCC660" w14:textId="3747337F" w:rsidR="002F52BB" w:rsidRPr="00E73986" w:rsidRDefault="002F52BB" w:rsidP="00E73986"/>
    <w:sectPr w:rsidR="002F52BB" w:rsidRPr="00E73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BB"/>
    <w:rsid w:val="000B4DAC"/>
    <w:rsid w:val="00210E5F"/>
    <w:rsid w:val="0025428C"/>
    <w:rsid w:val="002F52BB"/>
    <w:rsid w:val="00741223"/>
    <w:rsid w:val="007B46CC"/>
    <w:rsid w:val="007F13FD"/>
    <w:rsid w:val="008E3C96"/>
    <w:rsid w:val="00902F30"/>
    <w:rsid w:val="00970242"/>
    <w:rsid w:val="00C20DD4"/>
    <w:rsid w:val="00CA01AD"/>
    <w:rsid w:val="00D15287"/>
    <w:rsid w:val="00E7398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C985"/>
  <w15:chartTrackingRefBased/>
  <w15:docId w15:val="{FF1B2AB1-32B2-4BBF-9C8C-E19BE1AC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2BB"/>
    <w:pPr>
      <w:spacing w:after="0" w:line="240" w:lineRule="auto"/>
    </w:pPr>
    <w:rPr>
      <w:sz w:val="24"/>
      <w:szCs w:val="24"/>
    </w:rPr>
  </w:style>
  <w:style w:type="paragraph" w:styleId="Ttulo1">
    <w:name w:val="heading 1"/>
    <w:basedOn w:val="Normal"/>
    <w:next w:val="Normal"/>
    <w:link w:val="Ttulo1Carter"/>
    <w:uiPriority w:val="9"/>
    <w:qFormat/>
    <w:rsid w:val="002F52BB"/>
    <w:pPr>
      <w:jc w:val="center"/>
      <w:outlineLvl w:val="0"/>
    </w:pPr>
    <w:rPr>
      <w:rFonts w:ascii="Arial" w:eastAsia="Times New Roman" w:hAnsi="Arial" w:cs="Arial"/>
      <w:b/>
      <w:bCs/>
      <w:color w:val="000000"/>
      <w:sz w:val="28"/>
      <w:szCs w:val="27"/>
      <w:shd w:val="clear" w:color="auto" w:fill="F9F9F9"/>
      <w:lang w:eastAsia="en-GB"/>
    </w:rPr>
  </w:style>
  <w:style w:type="paragraph" w:styleId="Ttulo2">
    <w:name w:val="heading 2"/>
    <w:basedOn w:val="Normal"/>
    <w:next w:val="Normal"/>
    <w:link w:val="Ttulo2Carter"/>
    <w:uiPriority w:val="9"/>
    <w:semiHidden/>
    <w:unhideWhenUsed/>
    <w:qFormat/>
    <w:rsid w:val="007412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2F52BB"/>
    <w:rPr>
      <w:rFonts w:ascii="Arial" w:eastAsia="Times New Roman" w:hAnsi="Arial" w:cs="Arial"/>
      <w:b/>
      <w:bCs/>
      <w:color w:val="000000"/>
      <w:sz w:val="28"/>
      <w:szCs w:val="27"/>
      <w:lang w:eastAsia="en-GB"/>
    </w:rPr>
  </w:style>
  <w:style w:type="character" w:customStyle="1" w:styleId="Ttulo2Carter">
    <w:name w:val="Título 2 Caráter"/>
    <w:basedOn w:val="Tipodeletrapredefinidodopargrafo"/>
    <w:link w:val="Ttulo2"/>
    <w:uiPriority w:val="9"/>
    <w:semiHidden/>
    <w:rsid w:val="007412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2363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José Catarino</cp:lastModifiedBy>
  <cp:revision>2</cp:revision>
  <dcterms:created xsi:type="dcterms:W3CDTF">2024-01-11T16:26:00Z</dcterms:created>
  <dcterms:modified xsi:type="dcterms:W3CDTF">2024-01-11T16:26:00Z</dcterms:modified>
</cp:coreProperties>
</file>