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DA05" w14:textId="77777777" w:rsidR="008518FE" w:rsidRPr="008518FE" w:rsidRDefault="008518FE" w:rsidP="008518FE">
      <w:pPr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</w:pPr>
      <w:bookmarkStart w:id="0" w:name="_Toc135316792"/>
      <w:r w:rsidRPr="008518FE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Frequência e caracterização fenotípica de estirpes de </w:t>
      </w:r>
      <w:r w:rsidRPr="008518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Campylobacter</w:t>
      </w:r>
      <w:r w:rsidRPr="008518FE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</w:t>
      </w:r>
      <w:r w:rsidRPr="008518FE">
        <w:rPr>
          <w:rFonts w:ascii="Arial" w:eastAsia="Times New Roman" w:hAnsi="Arial" w:cs="Arial"/>
          <w:b/>
          <w:bCs/>
          <w:i/>
          <w:iCs/>
          <w:color w:val="000000"/>
          <w:sz w:val="28"/>
          <w:szCs w:val="27"/>
          <w:lang w:eastAsia="en-GB"/>
        </w:rPr>
        <w:t>coli</w:t>
      </w:r>
      <w:r w:rsidRPr="008518FE">
        <w:rPr>
          <w:rFonts w:ascii="Arial" w:eastAsia="Times New Roman" w:hAnsi="Arial" w:cs="Arial"/>
          <w:b/>
          <w:bCs/>
          <w:color w:val="000000"/>
          <w:sz w:val="28"/>
          <w:szCs w:val="27"/>
          <w:lang w:eastAsia="en-GB"/>
        </w:rPr>
        <w:t xml:space="preserve"> em suínos abatidos para consumo Humano em Portugal</w:t>
      </w:r>
      <w:bookmarkEnd w:id="0"/>
    </w:p>
    <w:p w14:paraId="2E0DDA58" w14:textId="77777777" w:rsidR="008518FE" w:rsidRPr="008518FE" w:rsidRDefault="008518FE" w:rsidP="008518FE">
      <w:pPr>
        <w:rPr>
          <w:rFonts w:ascii="Calibri" w:eastAsia="Calibri" w:hAnsi="Calibri" w:cs="Times New Roman"/>
          <w:lang w:eastAsia="en-GB"/>
        </w:rPr>
      </w:pPr>
    </w:p>
    <w:p w14:paraId="647E245A" w14:textId="77777777" w:rsidR="008518FE" w:rsidRPr="008518FE" w:rsidRDefault="008518FE" w:rsidP="008518FE">
      <w:pPr>
        <w:jc w:val="center"/>
        <w:rPr>
          <w:rFonts w:ascii="Arial" w:eastAsia="Calibri" w:hAnsi="Arial" w:cs="Arial"/>
        </w:rPr>
      </w:pPr>
      <w:r w:rsidRPr="008518FE">
        <w:rPr>
          <w:rFonts w:ascii="Arial" w:eastAsia="Calibri" w:hAnsi="Arial" w:cs="Arial"/>
        </w:rPr>
        <w:t>Rute Rosa</w:t>
      </w:r>
      <w:r w:rsidRPr="008518FE">
        <w:rPr>
          <w:rFonts w:ascii="Arial" w:eastAsia="Calibri" w:hAnsi="Arial" w:cs="Arial"/>
          <w:vertAlign w:val="superscript"/>
        </w:rPr>
        <w:t>1</w:t>
      </w:r>
      <w:r w:rsidRPr="008518FE">
        <w:rPr>
          <w:rFonts w:ascii="Arial" w:eastAsia="Calibri" w:hAnsi="Arial" w:cs="Arial"/>
        </w:rPr>
        <w:t>, Alexandra Nunes</w:t>
      </w:r>
      <w:r w:rsidRPr="008518FE">
        <w:rPr>
          <w:rFonts w:ascii="Arial" w:eastAsia="Calibri" w:hAnsi="Arial" w:cs="Arial"/>
          <w:vertAlign w:val="superscript"/>
        </w:rPr>
        <w:t>1,2</w:t>
      </w:r>
      <w:r w:rsidRPr="008518FE">
        <w:rPr>
          <w:rFonts w:ascii="Arial" w:eastAsia="Calibri" w:hAnsi="Arial" w:cs="Arial"/>
        </w:rPr>
        <w:t>, Margarida Alves</w:t>
      </w:r>
      <w:r w:rsidRPr="008518FE">
        <w:rPr>
          <w:rFonts w:ascii="Arial" w:eastAsia="Calibri" w:hAnsi="Arial" w:cs="Arial"/>
          <w:vertAlign w:val="superscript"/>
        </w:rPr>
        <w:t>1,3</w:t>
      </w:r>
      <w:r w:rsidRPr="008518FE">
        <w:rPr>
          <w:rFonts w:ascii="Arial" w:eastAsia="Calibri" w:hAnsi="Arial" w:cs="Arial"/>
        </w:rPr>
        <w:t>, Adriana Belas</w:t>
      </w:r>
      <w:r w:rsidRPr="008518FE">
        <w:rPr>
          <w:rFonts w:ascii="Arial" w:eastAsia="Calibri" w:hAnsi="Arial" w:cs="Arial"/>
          <w:vertAlign w:val="superscript"/>
        </w:rPr>
        <w:t>1,4,5,6</w:t>
      </w:r>
      <w:r w:rsidRPr="008518FE">
        <w:rPr>
          <w:rFonts w:ascii="Arial" w:eastAsia="Calibri" w:hAnsi="Arial" w:cs="Arial"/>
        </w:rPr>
        <w:t>, Isabel Santos</w:t>
      </w:r>
      <w:r w:rsidRPr="008518FE">
        <w:rPr>
          <w:rFonts w:ascii="Arial" w:eastAsia="Calibri" w:hAnsi="Arial" w:cs="Arial"/>
          <w:vertAlign w:val="superscript"/>
        </w:rPr>
        <w:t>1,7</w:t>
      </w:r>
      <w:r w:rsidRPr="008518FE">
        <w:rPr>
          <w:rFonts w:ascii="Arial" w:eastAsia="Calibri" w:hAnsi="Arial" w:cs="Arial"/>
        </w:rPr>
        <w:t>, Ana Lima</w:t>
      </w:r>
      <w:r w:rsidRPr="008518FE">
        <w:rPr>
          <w:rFonts w:ascii="Arial" w:eastAsia="Calibri" w:hAnsi="Arial" w:cs="Arial"/>
          <w:vertAlign w:val="superscript"/>
        </w:rPr>
        <w:t>1,7</w:t>
      </w:r>
      <w:r w:rsidRPr="008518FE">
        <w:rPr>
          <w:rFonts w:ascii="Arial" w:eastAsia="Calibri" w:hAnsi="Arial" w:cs="Arial"/>
        </w:rPr>
        <w:t>, Joana Mota</w:t>
      </w:r>
      <w:r w:rsidRPr="008518FE">
        <w:rPr>
          <w:rFonts w:ascii="Arial" w:eastAsia="Calibri" w:hAnsi="Arial" w:cs="Arial"/>
          <w:vertAlign w:val="superscript"/>
        </w:rPr>
        <w:t>1</w:t>
      </w:r>
      <w:r w:rsidRPr="008518FE">
        <w:rPr>
          <w:rFonts w:ascii="Arial" w:eastAsia="Calibri" w:hAnsi="Arial" w:cs="Arial"/>
        </w:rPr>
        <w:t>, Laurentina Pedroso</w:t>
      </w:r>
      <w:r w:rsidRPr="008518FE">
        <w:rPr>
          <w:rFonts w:ascii="Arial" w:eastAsia="Calibri" w:hAnsi="Arial" w:cs="Arial"/>
          <w:vertAlign w:val="superscript"/>
        </w:rPr>
        <w:t>1,7</w:t>
      </w:r>
      <w:r w:rsidRPr="008518FE">
        <w:rPr>
          <w:rFonts w:ascii="Arial" w:eastAsia="Calibri" w:hAnsi="Arial" w:cs="Arial"/>
        </w:rPr>
        <w:t>, João Paulo Gomes</w:t>
      </w:r>
      <w:r w:rsidRPr="008518FE">
        <w:rPr>
          <w:rFonts w:ascii="Arial" w:eastAsia="Calibri" w:hAnsi="Arial" w:cs="Arial"/>
          <w:vertAlign w:val="superscript"/>
        </w:rPr>
        <w:t>1,2</w:t>
      </w:r>
      <w:r w:rsidRPr="008518FE">
        <w:rPr>
          <w:rFonts w:ascii="Arial" w:eastAsia="Calibri" w:hAnsi="Arial" w:cs="Arial"/>
        </w:rPr>
        <w:t>, Sónia Ramos</w:t>
      </w:r>
      <w:r w:rsidRPr="008518FE">
        <w:rPr>
          <w:rFonts w:ascii="Arial" w:eastAsia="Calibri" w:hAnsi="Arial" w:cs="Arial"/>
          <w:vertAlign w:val="superscript"/>
        </w:rPr>
        <w:t>1</w:t>
      </w:r>
      <w:r w:rsidRPr="008518FE">
        <w:rPr>
          <w:rFonts w:ascii="Arial" w:eastAsia="Calibri" w:hAnsi="Arial" w:cs="Arial"/>
        </w:rPr>
        <w:t>, Mónica Oleastro</w:t>
      </w:r>
      <w:r w:rsidRPr="008518FE">
        <w:rPr>
          <w:rFonts w:ascii="Arial" w:eastAsia="Calibri" w:hAnsi="Arial" w:cs="Arial"/>
          <w:vertAlign w:val="superscript"/>
        </w:rPr>
        <w:t>8</w:t>
      </w:r>
    </w:p>
    <w:p w14:paraId="56458E59" w14:textId="77777777" w:rsidR="008518FE" w:rsidRPr="008518FE" w:rsidRDefault="008518FE" w:rsidP="008518FE">
      <w:pPr>
        <w:rPr>
          <w:rFonts w:ascii="Arial" w:eastAsia="Calibri" w:hAnsi="Arial" w:cs="Arial"/>
        </w:rPr>
      </w:pPr>
    </w:p>
    <w:p w14:paraId="4572DDA0" w14:textId="77777777" w:rsidR="008518FE" w:rsidRPr="008518FE" w:rsidRDefault="008518FE" w:rsidP="008518FE">
      <w:pPr>
        <w:rPr>
          <w:rFonts w:ascii="Arial" w:eastAsia="Calibri" w:hAnsi="Arial" w:cs="Arial"/>
          <w:sz w:val="20"/>
          <w:szCs w:val="20"/>
        </w:rPr>
      </w:pPr>
      <w:r w:rsidRPr="008518FE">
        <w:rPr>
          <w:rFonts w:ascii="Arial" w:eastAsia="Calibri" w:hAnsi="Arial" w:cs="Arial"/>
          <w:sz w:val="20"/>
          <w:szCs w:val="20"/>
          <w:vertAlign w:val="superscript"/>
        </w:rPr>
        <w:t>1</w:t>
      </w:r>
      <w:r w:rsidRPr="008518FE">
        <w:rPr>
          <w:rFonts w:ascii="Arial" w:eastAsia="Calibri" w:hAnsi="Arial" w:cs="Arial"/>
          <w:sz w:val="20"/>
          <w:szCs w:val="20"/>
        </w:rPr>
        <w:t>Universidade Lusófona, Faculdade de Medicina Veterinária, Lisboa, Portugal</w:t>
      </w:r>
    </w:p>
    <w:p w14:paraId="62AD0F2D" w14:textId="77777777" w:rsidR="008518FE" w:rsidRPr="008518FE" w:rsidRDefault="008518FE" w:rsidP="008518FE">
      <w:pPr>
        <w:rPr>
          <w:rFonts w:ascii="Arial" w:eastAsia="Calibri" w:hAnsi="Arial" w:cs="Arial"/>
          <w:sz w:val="20"/>
          <w:szCs w:val="20"/>
        </w:rPr>
      </w:pPr>
      <w:r w:rsidRPr="008518FE">
        <w:rPr>
          <w:rFonts w:ascii="Arial" w:eastAsia="Calibri" w:hAnsi="Arial" w:cs="Arial"/>
          <w:sz w:val="20"/>
          <w:szCs w:val="20"/>
          <w:vertAlign w:val="superscript"/>
        </w:rPr>
        <w:t>2</w:t>
      </w:r>
      <w:r w:rsidRPr="008518FE">
        <w:rPr>
          <w:rFonts w:ascii="Arial" w:eastAsia="Calibri" w:hAnsi="Arial" w:cs="Arial"/>
          <w:sz w:val="20"/>
          <w:szCs w:val="20"/>
        </w:rPr>
        <w:t>Núcleo de Genómica e Bioinformática, Departamento de Doenças Infeciosas, Instituto Nacional de Saúde Doutor Ricardo Jorge, Lisboa, Portugal</w:t>
      </w:r>
    </w:p>
    <w:p w14:paraId="242C1933" w14:textId="77777777" w:rsidR="008518FE" w:rsidRPr="008518FE" w:rsidRDefault="008518FE" w:rsidP="008518FE">
      <w:pPr>
        <w:spacing w:after="56"/>
        <w:ind w:left="-5" w:right="-11"/>
        <w:jc w:val="both"/>
        <w:rPr>
          <w:rFonts w:ascii="Arial" w:eastAsia="Calibri" w:hAnsi="Arial" w:cs="Arial"/>
          <w:sz w:val="20"/>
          <w:szCs w:val="20"/>
        </w:rPr>
      </w:pPr>
      <w:r w:rsidRPr="008518FE">
        <w:rPr>
          <w:rFonts w:ascii="Arial" w:eastAsia="Calibri" w:hAnsi="Arial" w:cs="Arial"/>
          <w:sz w:val="20"/>
          <w:szCs w:val="20"/>
          <w:vertAlign w:val="superscript"/>
        </w:rPr>
        <w:t>3</w:t>
      </w:r>
      <w:r w:rsidRPr="008518FE">
        <w:rPr>
          <w:rFonts w:ascii="Arial" w:eastAsia="Calibri" w:hAnsi="Arial" w:cs="Arial"/>
          <w:sz w:val="20"/>
          <w:szCs w:val="20"/>
        </w:rPr>
        <w:t>CBIOS - Research Center for Biosciences and Health Technologies, Universidade Lusófona, Lisboa, Portugal</w:t>
      </w:r>
    </w:p>
    <w:p w14:paraId="4ACF89ED" w14:textId="77777777" w:rsidR="008518FE" w:rsidRPr="008518FE" w:rsidRDefault="008518FE" w:rsidP="008518FE">
      <w:pPr>
        <w:ind w:right="-46"/>
        <w:jc w:val="both"/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</w:pPr>
      <w:r w:rsidRPr="008518FE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4</w:t>
      </w:r>
      <w:r w:rsidRPr="008518FE">
        <w:rPr>
          <w:rFonts w:ascii="Arial" w:eastAsia="Times New Roman" w:hAnsi="Arial" w:cs="Arial"/>
          <w:noProof/>
          <w:color w:val="000000"/>
          <w:sz w:val="20"/>
          <w:szCs w:val="20"/>
          <w:lang w:eastAsia="pt-PT"/>
        </w:rPr>
        <w:t>Escola Superior de Saúde, Proteção e Bem Estar Animal, Instituto Politécnico da Lusofonia, Portugal</w:t>
      </w:r>
    </w:p>
    <w:p w14:paraId="16EB1F1E" w14:textId="77777777" w:rsidR="008518FE" w:rsidRPr="008518FE" w:rsidRDefault="008518FE" w:rsidP="008518FE">
      <w:pPr>
        <w:jc w:val="both"/>
        <w:rPr>
          <w:rFonts w:ascii="Arial" w:eastAsia="Calibri" w:hAnsi="Arial" w:cs="Arial"/>
          <w:sz w:val="20"/>
          <w:szCs w:val="20"/>
        </w:rPr>
      </w:pPr>
      <w:r w:rsidRPr="008518FE">
        <w:rPr>
          <w:rFonts w:ascii="Arial" w:eastAsia="Calibri" w:hAnsi="Arial" w:cs="Arial"/>
          <w:sz w:val="20"/>
          <w:szCs w:val="20"/>
          <w:vertAlign w:val="superscript"/>
        </w:rPr>
        <w:t>5</w:t>
      </w:r>
      <w:r w:rsidRPr="008518FE">
        <w:rPr>
          <w:rFonts w:ascii="Arial" w:eastAsia="Calibri" w:hAnsi="Arial" w:cs="Arial"/>
          <w:sz w:val="20"/>
          <w:szCs w:val="20"/>
        </w:rPr>
        <w:t>CIISA – Centro de Investigação Interdisciplinar em Sanidade Animal, Lisboa, Portugal</w:t>
      </w:r>
    </w:p>
    <w:p w14:paraId="55158974" w14:textId="77777777" w:rsidR="008518FE" w:rsidRPr="008518FE" w:rsidRDefault="008518FE" w:rsidP="008518FE">
      <w:pPr>
        <w:jc w:val="both"/>
        <w:rPr>
          <w:rFonts w:ascii="Arial" w:eastAsia="Calibri" w:hAnsi="Arial" w:cs="Arial"/>
          <w:sz w:val="20"/>
          <w:szCs w:val="20"/>
        </w:rPr>
      </w:pPr>
      <w:r w:rsidRPr="008518FE">
        <w:rPr>
          <w:rFonts w:ascii="Arial" w:eastAsia="Calibri" w:hAnsi="Arial" w:cs="Arial"/>
          <w:sz w:val="20"/>
          <w:szCs w:val="20"/>
          <w:vertAlign w:val="superscript"/>
        </w:rPr>
        <w:t>6</w:t>
      </w:r>
      <w:r w:rsidRPr="008518FE">
        <w:rPr>
          <w:rFonts w:ascii="Arial" w:eastAsia="Calibri" w:hAnsi="Arial" w:cs="Arial"/>
          <w:sz w:val="20"/>
          <w:szCs w:val="20"/>
        </w:rPr>
        <w:t>AL4AnimalS – Laboratório Associado para a Ciência Animal e Veterinária, Portugal</w:t>
      </w:r>
    </w:p>
    <w:p w14:paraId="364712E3" w14:textId="77777777" w:rsidR="008518FE" w:rsidRPr="008518FE" w:rsidRDefault="008518FE" w:rsidP="008518FE">
      <w:pPr>
        <w:ind w:right="-46"/>
        <w:jc w:val="both"/>
        <w:rPr>
          <w:rFonts w:ascii="Arial" w:eastAsia="Calibri" w:hAnsi="Arial" w:cs="Arial"/>
          <w:bCs/>
          <w:sz w:val="20"/>
          <w:szCs w:val="20"/>
        </w:rPr>
      </w:pPr>
      <w:r w:rsidRPr="008518FE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  <w:lang w:eastAsia="pt-PT"/>
        </w:rPr>
        <w:t>7</w:t>
      </w:r>
      <w:r w:rsidRPr="008518FE">
        <w:rPr>
          <w:rFonts w:ascii="Arial" w:eastAsia="Calibri" w:hAnsi="Arial" w:cs="Arial"/>
          <w:bCs/>
          <w:sz w:val="20"/>
          <w:szCs w:val="20"/>
        </w:rPr>
        <w:t>LEAF—Linking Landscape, Environment, Agriculture and Food Research Center, Associate Laboratory TERRA, Instituto Superior de Agronomia, Universidade de Lisboa, Tapada da Ajuda, Lisboa, Portugal</w:t>
      </w:r>
    </w:p>
    <w:p w14:paraId="5FAC6FF2" w14:textId="77777777" w:rsidR="008518FE" w:rsidRPr="008518FE" w:rsidRDefault="008518FE" w:rsidP="008518FE">
      <w:pPr>
        <w:rPr>
          <w:rFonts w:ascii="Arial" w:eastAsia="Calibri" w:hAnsi="Arial" w:cs="Arial"/>
          <w:sz w:val="20"/>
          <w:szCs w:val="20"/>
        </w:rPr>
      </w:pPr>
      <w:r w:rsidRPr="008518FE">
        <w:rPr>
          <w:rFonts w:ascii="Arial" w:eastAsia="Calibri" w:hAnsi="Arial" w:cs="Arial"/>
          <w:sz w:val="20"/>
          <w:szCs w:val="20"/>
          <w:vertAlign w:val="superscript"/>
        </w:rPr>
        <w:t>8</w:t>
      </w:r>
      <w:r w:rsidRPr="008518FE">
        <w:rPr>
          <w:rFonts w:ascii="Arial" w:eastAsia="Calibri" w:hAnsi="Arial" w:cs="Arial"/>
          <w:sz w:val="20"/>
          <w:szCs w:val="20"/>
        </w:rPr>
        <w:t>Laboratório de Referência das infeções Gastrintestinais, Departamento de Doenças Infeciosas, Instituto Nacional de Saúde Doutor Ricardo Jorge, Lisboa, Portugal</w:t>
      </w:r>
    </w:p>
    <w:p w14:paraId="754F7CD0" w14:textId="77777777" w:rsidR="008518FE" w:rsidRPr="008518FE" w:rsidRDefault="008518FE" w:rsidP="008518FE">
      <w:pPr>
        <w:rPr>
          <w:rFonts w:ascii="Arial" w:eastAsia="Calibri" w:hAnsi="Arial" w:cs="Arial"/>
        </w:rPr>
      </w:pPr>
    </w:p>
    <w:p w14:paraId="057438F8" w14:textId="77777777" w:rsidR="008518FE" w:rsidRPr="008518FE" w:rsidRDefault="008518FE" w:rsidP="008518FE">
      <w:pPr>
        <w:jc w:val="both"/>
        <w:rPr>
          <w:rFonts w:ascii="Arial" w:eastAsia="Calibri" w:hAnsi="Arial" w:cs="Arial"/>
        </w:rPr>
      </w:pPr>
      <w:r w:rsidRPr="008518FE">
        <w:rPr>
          <w:rFonts w:ascii="Arial" w:eastAsia="Calibri" w:hAnsi="Arial" w:cs="Arial"/>
          <w:b/>
          <w:bCs/>
        </w:rPr>
        <w:t>Objetivos:</w:t>
      </w:r>
      <w:r w:rsidRPr="008518FE">
        <w:rPr>
          <w:rFonts w:ascii="Arial" w:eastAsia="Calibri" w:hAnsi="Arial" w:cs="Arial"/>
        </w:rPr>
        <w:t xml:space="preserve"> Este estudo visa a avaliação da frequência de </w:t>
      </w:r>
      <w:r w:rsidRPr="008518FE">
        <w:rPr>
          <w:rFonts w:ascii="Arial" w:eastAsia="Calibri" w:hAnsi="Arial" w:cs="Arial"/>
          <w:i/>
          <w:iCs/>
        </w:rPr>
        <w:t>Campylobacter</w:t>
      </w:r>
      <w:r w:rsidRPr="008518FE">
        <w:rPr>
          <w:rFonts w:ascii="Arial" w:eastAsia="Calibri" w:hAnsi="Arial" w:cs="Arial"/>
        </w:rPr>
        <w:t xml:space="preserve"> spp. em amostras fecais de suínos abatidos para consumo humano em Portugal e, caracterização fenotípica dos isolados identificados.</w:t>
      </w:r>
    </w:p>
    <w:p w14:paraId="56BA29E1" w14:textId="77777777" w:rsidR="008518FE" w:rsidRPr="008518FE" w:rsidRDefault="008518FE" w:rsidP="008518FE">
      <w:pPr>
        <w:jc w:val="both"/>
        <w:rPr>
          <w:rFonts w:ascii="Arial" w:eastAsia="Calibri" w:hAnsi="Arial" w:cs="Arial"/>
        </w:rPr>
      </w:pPr>
      <w:r w:rsidRPr="008518FE">
        <w:rPr>
          <w:rFonts w:ascii="Arial" w:eastAsia="Calibri" w:hAnsi="Arial" w:cs="Arial"/>
          <w:b/>
          <w:bCs/>
        </w:rPr>
        <w:t>Materiais e Métodos:</w:t>
      </w:r>
      <w:r w:rsidRPr="008518FE">
        <w:rPr>
          <w:rFonts w:ascii="Arial" w:eastAsia="Calibri" w:hAnsi="Arial" w:cs="Arial"/>
        </w:rPr>
        <w:t xml:space="preserve"> Durante 6 meses, foram colhidas um total de 209 amostras de fezes de suíno em dois matadouros portugueses, que abatem animais de diferentes regiões do país. O isolamento microbiológico foi realizado de acordo com a norma ISO 10272-1:2017 (E). Todos os isolados suspeitos de </w:t>
      </w:r>
      <w:r w:rsidRPr="008518FE">
        <w:rPr>
          <w:rFonts w:ascii="Arial" w:eastAsia="Calibri" w:hAnsi="Arial" w:cs="Arial"/>
          <w:i/>
          <w:iCs/>
        </w:rPr>
        <w:t>Campylobacter</w:t>
      </w:r>
      <w:r w:rsidRPr="008518FE">
        <w:rPr>
          <w:rFonts w:ascii="Arial" w:eastAsia="Calibri" w:hAnsi="Arial" w:cs="Arial"/>
        </w:rPr>
        <w:t xml:space="preserve"> spp., foram confirmados e identificados por MALDI-TOF. Em todos os isolados com identificação positiva para </w:t>
      </w:r>
      <w:r w:rsidRPr="008518FE">
        <w:rPr>
          <w:rFonts w:ascii="Arial" w:eastAsia="Calibri" w:hAnsi="Arial" w:cs="Arial"/>
          <w:i/>
          <w:iCs/>
        </w:rPr>
        <w:t>Campylobacter coli</w:t>
      </w:r>
      <w:r w:rsidRPr="008518FE">
        <w:rPr>
          <w:rFonts w:ascii="Arial" w:eastAsia="Calibri" w:hAnsi="Arial" w:cs="Arial"/>
        </w:rPr>
        <w:t xml:space="preserve"> foi estudada a suscetibilidade a 7 antibióticos pelo método de difusão em disco e interpretado de acordo com os critérios EUCAST e SFM.</w:t>
      </w:r>
    </w:p>
    <w:p w14:paraId="3EE587E3" w14:textId="77777777" w:rsidR="008518FE" w:rsidRPr="008518FE" w:rsidRDefault="008518FE" w:rsidP="008518FE">
      <w:pPr>
        <w:jc w:val="both"/>
        <w:rPr>
          <w:rFonts w:ascii="Arial" w:eastAsia="Calibri" w:hAnsi="Arial" w:cs="Arial"/>
        </w:rPr>
      </w:pPr>
      <w:r w:rsidRPr="008518FE">
        <w:rPr>
          <w:rFonts w:ascii="Arial" w:eastAsia="Calibri" w:hAnsi="Arial" w:cs="Arial"/>
          <w:b/>
          <w:bCs/>
        </w:rPr>
        <w:t>Resultados:</w:t>
      </w:r>
      <w:r w:rsidRPr="008518FE">
        <w:rPr>
          <w:rFonts w:ascii="Arial" w:eastAsia="Calibri" w:hAnsi="Arial" w:cs="Arial"/>
        </w:rPr>
        <w:t xml:space="preserve"> Das 209 amostras estudadas, 8.6% (18/209) foram positivas para </w:t>
      </w:r>
      <w:r w:rsidRPr="008518FE">
        <w:rPr>
          <w:rFonts w:ascii="Arial" w:eastAsia="Calibri" w:hAnsi="Arial" w:cs="Arial"/>
          <w:i/>
          <w:iCs/>
        </w:rPr>
        <w:t>Campylobacter</w:t>
      </w:r>
      <w:r w:rsidRPr="008518FE">
        <w:rPr>
          <w:rFonts w:ascii="Arial" w:eastAsia="Calibri" w:hAnsi="Arial" w:cs="Arial"/>
        </w:rPr>
        <w:t xml:space="preserve">, das quais 11 foram identificadas como </w:t>
      </w:r>
      <w:r w:rsidRPr="008518FE">
        <w:rPr>
          <w:rFonts w:ascii="Arial" w:eastAsia="Calibri" w:hAnsi="Arial" w:cs="Arial"/>
          <w:i/>
          <w:iCs/>
        </w:rPr>
        <w:t>C. coli</w:t>
      </w:r>
      <w:r w:rsidRPr="008518FE">
        <w:rPr>
          <w:rFonts w:ascii="Arial" w:eastAsia="Calibri" w:hAnsi="Arial" w:cs="Arial"/>
        </w:rPr>
        <w:t xml:space="preserve">, enquanto 4 foram identificados como </w:t>
      </w:r>
      <w:r w:rsidRPr="008518FE">
        <w:rPr>
          <w:rFonts w:ascii="Arial" w:eastAsia="Calibri" w:hAnsi="Arial" w:cs="Arial"/>
          <w:i/>
          <w:iCs/>
        </w:rPr>
        <w:t>Campylobacter hyointestinalis</w:t>
      </w:r>
      <w:r w:rsidRPr="008518FE">
        <w:rPr>
          <w:rFonts w:ascii="Arial" w:eastAsia="Calibri" w:hAnsi="Arial" w:cs="Arial"/>
        </w:rPr>
        <w:t xml:space="preserve"> e 3 como </w:t>
      </w:r>
      <w:r w:rsidRPr="008518FE">
        <w:rPr>
          <w:rFonts w:ascii="Arial" w:eastAsia="Calibri" w:hAnsi="Arial" w:cs="Arial"/>
          <w:i/>
          <w:iCs/>
        </w:rPr>
        <w:t>Campylobacter sputorum</w:t>
      </w:r>
      <w:r w:rsidRPr="008518FE">
        <w:rPr>
          <w:rFonts w:ascii="Arial" w:eastAsia="Calibri" w:hAnsi="Arial" w:cs="Arial"/>
        </w:rPr>
        <w:t xml:space="preserve"> bubulus. Todos os 11 isolados </w:t>
      </w:r>
      <w:r w:rsidRPr="008518FE">
        <w:rPr>
          <w:rFonts w:ascii="Arial" w:eastAsia="Calibri" w:hAnsi="Arial" w:cs="Arial"/>
          <w:i/>
          <w:iCs/>
        </w:rPr>
        <w:t>C. coli</w:t>
      </w:r>
      <w:r w:rsidRPr="008518FE">
        <w:rPr>
          <w:rFonts w:ascii="Arial" w:eastAsia="Calibri" w:hAnsi="Arial" w:cs="Arial"/>
        </w:rPr>
        <w:t xml:space="preserve"> identificados foram resistentes à tetraciclina, tendo também mostrado resistência à ciprofloxacina (82%), à eritromicina (36%) e à amplicina (27%). Todos os isolados testados foram sensíveis à combinação amoxicilina com ácido clavulânico, ao ertapenem e à gentamicina. Dos 11 isolados de C. coli, 6 (54.5%) apresentaram um perfil de multirresistência (MDR), sendo resistentes a 3 três classes de antibióticos diferentes.</w:t>
      </w:r>
    </w:p>
    <w:p w14:paraId="069ADF91" w14:textId="77777777" w:rsidR="008518FE" w:rsidRPr="008518FE" w:rsidRDefault="008518FE" w:rsidP="008518FE">
      <w:pPr>
        <w:jc w:val="both"/>
        <w:rPr>
          <w:rFonts w:ascii="Arial" w:eastAsia="Calibri" w:hAnsi="Arial" w:cs="Arial"/>
        </w:rPr>
      </w:pPr>
      <w:r w:rsidRPr="008518FE">
        <w:rPr>
          <w:rFonts w:ascii="Arial" w:eastAsia="Calibri" w:hAnsi="Arial" w:cs="Arial"/>
          <w:b/>
          <w:bCs/>
        </w:rPr>
        <w:t>Conclusão:</w:t>
      </w:r>
      <w:r w:rsidRPr="008518FE">
        <w:rPr>
          <w:rFonts w:ascii="Arial" w:eastAsia="Calibri" w:hAnsi="Arial" w:cs="Arial"/>
        </w:rPr>
        <w:t xml:space="preserve"> No nosso estudo, </w:t>
      </w:r>
      <w:r w:rsidRPr="008518FE">
        <w:rPr>
          <w:rFonts w:ascii="Arial" w:eastAsia="Calibri" w:hAnsi="Arial" w:cs="Arial"/>
          <w:i/>
          <w:iCs/>
        </w:rPr>
        <w:t>C. coli</w:t>
      </w:r>
      <w:r w:rsidRPr="008518FE">
        <w:rPr>
          <w:rFonts w:ascii="Arial" w:eastAsia="Calibri" w:hAnsi="Arial" w:cs="Arial"/>
        </w:rPr>
        <w:t xml:space="preserve"> foi a espécie mais frequentemente identificada em suínos abatidos para consumo humano, sendo a segunda espécie mais relevante para a infeção humana. Mais de metade dos isolados </w:t>
      </w:r>
      <w:r w:rsidRPr="008518FE">
        <w:rPr>
          <w:rFonts w:ascii="Arial" w:eastAsia="Calibri" w:hAnsi="Arial" w:cs="Arial"/>
          <w:i/>
          <w:iCs/>
        </w:rPr>
        <w:t>C. coli</w:t>
      </w:r>
      <w:r w:rsidRPr="008518FE">
        <w:rPr>
          <w:rFonts w:ascii="Arial" w:eastAsia="Calibri" w:hAnsi="Arial" w:cs="Arial"/>
        </w:rPr>
        <w:t xml:space="preserve"> identificados apresentaram um perfil de MDR. Finalmente, uma elevada percentagem de resistência à ciprofloxacina e à tetraciclina foi detetada, sendo estes 2 dos antibióticos mais utilizados usados no tratamento da infeção a </w:t>
      </w:r>
      <w:r w:rsidRPr="008518FE">
        <w:rPr>
          <w:rFonts w:ascii="Arial" w:eastAsia="Calibri" w:hAnsi="Arial" w:cs="Arial"/>
          <w:i/>
          <w:iCs/>
        </w:rPr>
        <w:t>Campylobacter</w:t>
      </w:r>
      <w:r w:rsidRPr="008518FE">
        <w:rPr>
          <w:rFonts w:ascii="Arial" w:eastAsia="Calibri" w:hAnsi="Arial" w:cs="Arial"/>
        </w:rPr>
        <w:t>.</w:t>
      </w:r>
    </w:p>
    <w:p w14:paraId="7E7F77D1" w14:textId="77777777" w:rsidR="008518FE" w:rsidRPr="008518FE" w:rsidRDefault="008518FE" w:rsidP="008518FE">
      <w:pPr>
        <w:jc w:val="both"/>
        <w:rPr>
          <w:rFonts w:ascii="Arial" w:eastAsia="Calibri" w:hAnsi="Arial" w:cs="Arial"/>
        </w:rPr>
      </w:pPr>
    </w:p>
    <w:p w14:paraId="7B248B54" w14:textId="77777777" w:rsidR="008518FE" w:rsidRPr="008518FE" w:rsidRDefault="008518FE" w:rsidP="008518FE">
      <w:pPr>
        <w:jc w:val="both"/>
        <w:rPr>
          <w:rFonts w:ascii="Arial" w:eastAsia="Calibri" w:hAnsi="Arial" w:cs="Arial"/>
        </w:rPr>
      </w:pPr>
      <w:r w:rsidRPr="008518FE">
        <w:rPr>
          <w:rFonts w:ascii="Arial" w:eastAsia="Calibri" w:hAnsi="Arial" w:cs="Arial"/>
          <w:b/>
          <w:bCs/>
        </w:rPr>
        <w:lastRenderedPageBreak/>
        <w:t>Palavras-Chave:</w:t>
      </w:r>
      <w:r w:rsidRPr="008518FE">
        <w:rPr>
          <w:rFonts w:ascii="Arial" w:eastAsia="Calibri" w:hAnsi="Arial" w:cs="Arial"/>
        </w:rPr>
        <w:t xml:space="preserve"> </w:t>
      </w:r>
      <w:r w:rsidRPr="008518FE">
        <w:rPr>
          <w:rFonts w:ascii="Arial" w:eastAsia="Calibri" w:hAnsi="Arial" w:cs="Arial"/>
          <w:i/>
          <w:iCs/>
        </w:rPr>
        <w:t>Campylobacter coli</w:t>
      </w:r>
      <w:r w:rsidRPr="008518FE">
        <w:rPr>
          <w:rFonts w:ascii="Arial" w:eastAsia="Calibri" w:hAnsi="Arial" w:cs="Arial"/>
        </w:rPr>
        <w:t>; Suínos; Resistências; Antibióticos; Saúde pública.</w:t>
      </w:r>
    </w:p>
    <w:p w14:paraId="4401FFD7" w14:textId="77777777" w:rsidR="008518FE" w:rsidRPr="008518FE" w:rsidRDefault="008518FE" w:rsidP="008518FE">
      <w:pPr>
        <w:jc w:val="both"/>
        <w:rPr>
          <w:rFonts w:ascii="Arial" w:eastAsia="Calibri" w:hAnsi="Arial" w:cs="Arial"/>
          <w:b/>
          <w:bCs/>
        </w:rPr>
      </w:pPr>
    </w:p>
    <w:p w14:paraId="1FF31DA2" w14:textId="1BC0AB5B" w:rsidR="00D26F57" w:rsidRPr="00D26F57" w:rsidRDefault="008518FE" w:rsidP="008518FE">
      <w:r w:rsidRPr="008518FE">
        <w:rPr>
          <w:rFonts w:ascii="Arial" w:eastAsia="Calibri" w:hAnsi="Arial" w:cs="Arial"/>
          <w:b/>
          <w:bCs/>
        </w:rPr>
        <w:t>Financiamento:</w:t>
      </w:r>
      <w:r w:rsidRPr="008518FE">
        <w:rPr>
          <w:rFonts w:ascii="Arial" w:eastAsia="Calibri" w:hAnsi="Arial" w:cs="Arial"/>
        </w:rPr>
        <w:t xml:space="preserve"> Este trabalho insere-se no projeto estratégico “ResisCampyOH - Multidrug resistant </w:t>
      </w:r>
      <w:r w:rsidRPr="008518FE">
        <w:rPr>
          <w:rFonts w:ascii="Arial" w:eastAsia="Calibri" w:hAnsi="Arial" w:cs="Arial"/>
          <w:i/>
          <w:iCs/>
        </w:rPr>
        <w:t>Campylobacter jejuni</w:t>
      </w:r>
      <w:r w:rsidRPr="008518FE">
        <w:rPr>
          <w:rFonts w:ascii="Arial" w:eastAsia="Calibri" w:hAnsi="Arial" w:cs="Arial"/>
        </w:rPr>
        <w:t xml:space="preserve"> and </w:t>
      </w:r>
      <w:r w:rsidRPr="008518FE">
        <w:rPr>
          <w:rFonts w:ascii="Arial" w:eastAsia="Calibri" w:hAnsi="Arial" w:cs="Arial"/>
          <w:i/>
          <w:iCs/>
        </w:rPr>
        <w:t>Campylobacter coli</w:t>
      </w:r>
      <w:r w:rsidRPr="008518FE">
        <w:rPr>
          <w:rFonts w:ascii="Arial" w:eastAsia="Calibri" w:hAnsi="Arial" w:cs="Arial"/>
        </w:rPr>
        <w:t xml:space="preserve"> in Portugal: a One Health study to understand the sources, transmission and persistence”, financiado pela FMV-ULHT em 2022-2023.</w:t>
      </w:r>
    </w:p>
    <w:sectPr w:rsidR="00D26F57" w:rsidRPr="00D26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BB"/>
    <w:rsid w:val="000560D5"/>
    <w:rsid w:val="000B4DAC"/>
    <w:rsid w:val="00126556"/>
    <w:rsid w:val="00210E5F"/>
    <w:rsid w:val="002F52BB"/>
    <w:rsid w:val="005E11B5"/>
    <w:rsid w:val="00741223"/>
    <w:rsid w:val="007B46CC"/>
    <w:rsid w:val="007F13FD"/>
    <w:rsid w:val="008518FE"/>
    <w:rsid w:val="008E3C96"/>
    <w:rsid w:val="00902F30"/>
    <w:rsid w:val="00970242"/>
    <w:rsid w:val="00C05A28"/>
    <w:rsid w:val="00C20DD4"/>
    <w:rsid w:val="00CA01AD"/>
    <w:rsid w:val="00D15287"/>
    <w:rsid w:val="00D26F57"/>
    <w:rsid w:val="00E73986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C985"/>
  <w15:chartTrackingRefBased/>
  <w15:docId w15:val="{FF1B2AB1-32B2-4BBF-9C8C-E19BE1AC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BB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F52BB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12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F52BB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1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José Catarino</cp:lastModifiedBy>
  <cp:revision>2</cp:revision>
  <dcterms:created xsi:type="dcterms:W3CDTF">2024-01-11T16:29:00Z</dcterms:created>
  <dcterms:modified xsi:type="dcterms:W3CDTF">2024-01-11T16:29:00Z</dcterms:modified>
</cp:coreProperties>
</file>