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D085" w14:textId="77777777" w:rsidR="00DD7AD2" w:rsidRPr="00DD7AD2" w:rsidRDefault="00DD7AD2" w:rsidP="00DD7AD2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8"/>
      <w:r w:rsidRPr="00DD7AD2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Aplicação de salicórnia como alternativa ao sal em produtos cárneos curados: Potencial para a segurança alimentar e para a saúde humana</w:t>
      </w:r>
      <w:bookmarkEnd w:id="0"/>
    </w:p>
    <w:p w14:paraId="10CC49B3" w14:textId="77777777" w:rsidR="00DD7AD2" w:rsidRPr="00DD7AD2" w:rsidRDefault="00DD7AD2" w:rsidP="00DD7AD2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834012B" w14:textId="77777777" w:rsidR="00DD7AD2" w:rsidRPr="00DD7AD2" w:rsidRDefault="00DD7AD2" w:rsidP="00DD7AD2">
      <w:pPr>
        <w:spacing w:after="25" w:line="256" w:lineRule="auto"/>
        <w:jc w:val="center"/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</w:pPr>
      <w:r w:rsidRPr="00DD7AD2">
        <w:rPr>
          <w:rFonts w:ascii="Arial" w:eastAsia="Calibri" w:hAnsi="Arial" w:cs="Times New Roman"/>
          <w:color w:val="000000"/>
          <w:kern w:val="2"/>
          <w:u w:val="single"/>
          <w:lang w:eastAsia="en-GB"/>
        </w:rPr>
        <w:t>Filipe Saraiva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</w:t>
      </w:r>
      <w:r w:rsidRPr="00DD7AD2">
        <w:rPr>
          <w:rFonts w:ascii="Arial" w:eastAsia="Calibri" w:hAnsi="Arial" w:cs="Times New Roman"/>
          <w:color w:val="000000"/>
          <w:kern w:val="2"/>
          <w:lang w:eastAsia="en-GB"/>
        </w:rPr>
        <w:t>, Cátia Marques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1,2,3</w:t>
      </w:r>
      <w:r w:rsidRPr="00DD7AD2">
        <w:rPr>
          <w:rFonts w:ascii="Arial" w:eastAsia="Calibri" w:hAnsi="Arial" w:cs="Times New Roman"/>
          <w:color w:val="000000"/>
          <w:kern w:val="2"/>
          <w:lang w:eastAsia="en-GB"/>
        </w:rPr>
        <w:t>, Adriana Belas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1,2,3,4</w:t>
      </w:r>
      <w:r w:rsidRPr="00DD7AD2">
        <w:rPr>
          <w:rFonts w:ascii="Arial" w:eastAsia="Calibri" w:hAnsi="Arial" w:cs="Times New Roman"/>
          <w:color w:val="000000"/>
          <w:kern w:val="2"/>
          <w:lang w:eastAsia="en-GB"/>
        </w:rPr>
        <w:t>, Laurentina Pedroso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1,5</w:t>
      </w:r>
      <w:r w:rsidRPr="00DD7AD2">
        <w:rPr>
          <w:rFonts w:ascii="Arial" w:eastAsia="Calibri" w:hAnsi="Arial" w:cs="Times New Roman"/>
          <w:color w:val="000000"/>
          <w:kern w:val="2"/>
          <w:lang w:eastAsia="en-GB"/>
        </w:rPr>
        <w:t>, Isabel Santos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1,5</w:t>
      </w:r>
      <w:r w:rsidRPr="00DD7AD2">
        <w:rPr>
          <w:rFonts w:ascii="Arial" w:eastAsia="Calibri" w:hAnsi="Arial" w:cs="Times New Roman"/>
          <w:color w:val="000000"/>
          <w:kern w:val="2"/>
          <w:lang w:eastAsia="en-GB"/>
        </w:rPr>
        <w:t>, Armindo Lourenço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</w:t>
      </w:r>
      <w:r w:rsidRPr="00DD7AD2">
        <w:rPr>
          <w:rFonts w:ascii="Arial" w:eastAsia="Calibri" w:hAnsi="Arial" w:cs="Times New Roman"/>
          <w:color w:val="000000"/>
          <w:kern w:val="2"/>
          <w:lang w:eastAsia="en-GB"/>
        </w:rPr>
        <w:t>, Ana Lima</w:t>
      </w:r>
      <w:r w:rsidRPr="00DD7AD2">
        <w:rPr>
          <w:rFonts w:ascii="Arial" w:eastAsia="Calibri" w:hAnsi="Arial" w:cs="Times New Roman"/>
          <w:color w:val="000000"/>
          <w:kern w:val="2"/>
          <w:position w:val="5"/>
          <w:vertAlign w:val="superscript"/>
          <w:lang w:eastAsia="en-GB"/>
        </w:rPr>
        <w:t>1,5</w:t>
      </w:r>
    </w:p>
    <w:p w14:paraId="4E1D7762" w14:textId="77777777" w:rsidR="00DD7AD2" w:rsidRPr="00DD7AD2" w:rsidRDefault="00DD7AD2" w:rsidP="00DD7AD2">
      <w:pPr>
        <w:spacing w:after="25" w:line="256" w:lineRule="auto"/>
        <w:jc w:val="center"/>
        <w:rPr>
          <w:rFonts w:ascii="Times New Roman" w:eastAsia="Times New Roman" w:hAnsi="Times New Roman" w:cs="Times New Roman"/>
          <w:lang w:eastAsia="en-GB"/>
        </w:rPr>
      </w:pPr>
    </w:p>
    <w:p w14:paraId="5B79BD3F" w14:textId="77777777" w:rsidR="00DD7AD2" w:rsidRPr="00DD7AD2" w:rsidRDefault="00DD7AD2" w:rsidP="00DD7AD2">
      <w:pPr>
        <w:spacing w:after="25" w:line="256" w:lineRule="auto"/>
        <w:rPr>
          <w:rFonts w:ascii="Arial" w:eastAsia="Calibri" w:hAnsi="Arial" w:cs="Times New Roman"/>
          <w:color w:val="000000"/>
          <w:kern w:val="2"/>
          <w:sz w:val="20"/>
          <w:szCs w:val="20"/>
          <w:lang w:eastAsia="en-GB"/>
        </w:rPr>
      </w:pPr>
      <w:r w:rsidRPr="00DD7AD2">
        <w:rPr>
          <w:rFonts w:ascii="Arial" w:eastAsia="Calibri" w:hAnsi="Arial" w:cs="Times New Roman"/>
          <w:color w:val="000000"/>
          <w:kern w:val="2"/>
          <w:position w:val="5"/>
          <w:sz w:val="20"/>
          <w:szCs w:val="20"/>
          <w:vertAlign w:val="superscript"/>
          <w:lang w:eastAsia="en-GB"/>
        </w:rPr>
        <w:t>1</w:t>
      </w:r>
      <w:r w:rsidRPr="00DD7AD2">
        <w:rPr>
          <w:rFonts w:ascii="Arial" w:eastAsia="Calibri" w:hAnsi="Arial" w:cs="Times New Roman"/>
          <w:color w:val="000000"/>
          <w:kern w:val="2"/>
          <w:sz w:val="20"/>
          <w:szCs w:val="20"/>
          <w:lang w:eastAsia="en-GB"/>
        </w:rPr>
        <w:t>Faculdade Medicina veterinária, Universidade Lusófona Lisboa, Lisboa, Portugal</w:t>
      </w:r>
    </w:p>
    <w:p w14:paraId="685E0123" w14:textId="77777777" w:rsidR="00DD7AD2" w:rsidRPr="00DD7AD2" w:rsidRDefault="00DD7AD2" w:rsidP="00DD7AD2">
      <w:pPr>
        <w:jc w:val="both"/>
        <w:rPr>
          <w:rFonts w:ascii="Arial" w:eastAsia="Calibri" w:hAnsi="Arial" w:cs="Arial"/>
          <w:sz w:val="20"/>
          <w:szCs w:val="20"/>
        </w:rPr>
      </w:pPr>
      <w:r w:rsidRPr="00DD7AD2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DD7AD2">
        <w:rPr>
          <w:rFonts w:ascii="Arial" w:eastAsia="Calibri" w:hAnsi="Arial" w:cs="Arial"/>
          <w:sz w:val="20"/>
          <w:szCs w:val="20"/>
        </w:rPr>
        <w:t>CIISA – Centro de Investigação Interdisciplinar em Sanidade Animal, Lisboa, Portugal</w:t>
      </w:r>
    </w:p>
    <w:p w14:paraId="795E8117" w14:textId="77777777" w:rsidR="00DD7AD2" w:rsidRPr="00DD7AD2" w:rsidRDefault="00DD7AD2" w:rsidP="00DD7AD2">
      <w:pPr>
        <w:jc w:val="both"/>
        <w:rPr>
          <w:rFonts w:ascii="Arial" w:eastAsia="Calibri" w:hAnsi="Arial" w:cs="Arial"/>
          <w:sz w:val="20"/>
          <w:szCs w:val="20"/>
        </w:rPr>
      </w:pPr>
      <w:r w:rsidRPr="00DD7AD2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DD7AD2">
        <w:rPr>
          <w:rFonts w:ascii="Arial" w:eastAsia="Calibri" w:hAnsi="Arial" w:cs="Arial"/>
          <w:sz w:val="20"/>
          <w:szCs w:val="20"/>
        </w:rPr>
        <w:t>AL4AnimalS – Laboratório Associado para a Ciência Animal e Veterinária, Portugal</w:t>
      </w:r>
    </w:p>
    <w:p w14:paraId="398B4658" w14:textId="77777777" w:rsidR="00DD7AD2" w:rsidRPr="00DD7AD2" w:rsidRDefault="00DD7AD2" w:rsidP="00DD7AD2">
      <w:pPr>
        <w:ind w:right="-46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DD7AD2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4</w:t>
      </w:r>
      <w:r w:rsidRPr="00DD7AD2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Escola Superior de Saúde, Proteção e Bem Estar Animal, Instituto Politécnico da Lusofonia, Portugal</w:t>
      </w:r>
    </w:p>
    <w:p w14:paraId="2F166288" w14:textId="77777777" w:rsidR="00DD7AD2" w:rsidRPr="00DD7AD2" w:rsidRDefault="00DD7AD2" w:rsidP="00DD7AD2">
      <w:pPr>
        <w:ind w:right="-46"/>
        <w:jc w:val="both"/>
        <w:rPr>
          <w:rFonts w:ascii="Arial" w:eastAsia="Calibri" w:hAnsi="Arial" w:cs="Arial"/>
          <w:bCs/>
          <w:sz w:val="20"/>
          <w:szCs w:val="20"/>
        </w:rPr>
      </w:pPr>
      <w:r w:rsidRPr="00DD7AD2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5</w:t>
      </w:r>
      <w:r w:rsidRPr="00DD7AD2">
        <w:rPr>
          <w:rFonts w:ascii="Arial" w:eastAsia="Calibri" w:hAnsi="Arial" w:cs="Arial"/>
          <w:bCs/>
          <w:sz w:val="20"/>
          <w:szCs w:val="20"/>
        </w:rPr>
        <w:t>LEAF—Linking Landscape, Environment, Agriculture and Food Research Center, Associate Laboratory TERRA, Instituto Superior de Agronomia, Universidade de Lisboa, Tapada da Ajuda, Lisboa, Portugal</w:t>
      </w:r>
    </w:p>
    <w:p w14:paraId="08CEB69A" w14:textId="77777777" w:rsidR="00DD7AD2" w:rsidRPr="00DD7AD2" w:rsidRDefault="00DD7AD2" w:rsidP="00DD7AD2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D3FF873" w14:textId="77777777" w:rsidR="00DD7AD2" w:rsidRPr="00DD7AD2" w:rsidRDefault="00DD7AD2" w:rsidP="00DD7AD2">
      <w:pPr>
        <w:jc w:val="both"/>
        <w:rPr>
          <w:rFonts w:ascii="Arial" w:eastAsia="Calibri" w:hAnsi="Arial" w:cs="Arial"/>
        </w:rPr>
      </w:pPr>
      <w:r w:rsidRPr="00DD7AD2">
        <w:rPr>
          <w:rFonts w:ascii="Arial" w:eastAsia="Calibri" w:hAnsi="Arial" w:cs="Arial"/>
          <w:b/>
          <w:bCs/>
        </w:rPr>
        <w:t xml:space="preserve">Objectivos: </w:t>
      </w:r>
      <w:r w:rsidRPr="00DD7AD2">
        <w:rPr>
          <w:rFonts w:ascii="Arial" w:eastAsia="Calibri" w:hAnsi="Arial" w:cs="Arial"/>
        </w:rPr>
        <w:t xml:space="preserve">A excessiva ingestão de sal tem vindo a aumentar consideravelmente nas últimas décadas e encontra-se muito associada ao consumo de produtos processados, entre os quais os cárneos. O presente trabalho, fruto da colaboração entre a Faculdade de Medicina Veterinária da Universidade Lusófona com a Jerónimo Martins e a Sicasal, tem como objetivo determinar o potencial da utilização de salicórnia (“sal verde”) como alternativa ao sal em enchidos. Para tal foram avaliadas bioatividades com potencial para a saúde humana e para o </w:t>
      </w:r>
      <w:r w:rsidRPr="00DD7AD2">
        <w:rPr>
          <w:rFonts w:ascii="Arial" w:eastAsia="Calibri" w:hAnsi="Arial" w:cs="Arial"/>
          <w:i/>
          <w:iCs/>
        </w:rPr>
        <w:t>shelflife</w:t>
      </w:r>
      <w:r w:rsidRPr="00DD7AD2">
        <w:rPr>
          <w:rFonts w:ascii="Arial" w:eastAsia="Calibri" w:hAnsi="Arial" w:cs="Arial"/>
        </w:rPr>
        <w:t xml:space="preserve"> do produto, contra bactérias patogénicas alimentares e uma metaloproteínase de matriz, a MMP-9, comumente associada a estados de inflamação e a patologias tumorais. </w:t>
      </w:r>
    </w:p>
    <w:p w14:paraId="1A2B510F" w14:textId="77777777" w:rsidR="00DD7AD2" w:rsidRPr="00DD7AD2" w:rsidRDefault="00DD7AD2" w:rsidP="00DD7AD2">
      <w:pPr>
        <w:jc w:val="both"/>
        <w:rPr>
          <w:rFonts w:ascii="Arial" w:eastAsia="Calibri" w:hAnsi="Arial" w:cs="Arial"/>
        </w:rPr>
      </w:pPr>
      <w:r w:rsidRPr="00DD7AD2">
        <w:rPr>
          <w:rFonts w:ascii="Arial" w:eastAsia="Calibri" w:hAnsi="Arial" w:cs="Arial"/>
          <w:b/>
          <w:bCs/>
        </w:rPr>
        <w:t xml:space="preserve">Materiais e métodos: </w:t>
      </w:r>
      <w:r w:rsidRPr="00DD7AD2">
        <w:rPr>
          <w:rFonts w:ascii="Arial" w:eastAsia="Calibri" w:hAnsi="Arial" w:cs="Arial"/>
        </w:rPr>
        <w:t xml:space="preserve">A salicórnia utilizada foi na sua forma desidratada como produto comercial. Foi realizada uma extração polar e apolar sendo o seu material recolhido e congelado a -80ºC para futuras análises. As atividades anti-bacterianas foram avaliadas contra </w:t>
      </w:r>
      <w:r w:rsidRPr="00DD7AD2">
        <w:rPr>
          <w:rFonts w:ascii="Arial" w:eastAsia="Calibri" w:hAnsi="Arial" w:cs="Arial"/>
          <w:i/>
          <w:iCs/>
        </w:rPr>
        <w:t xml:space="preserve">Escherichia coli, </w:t>
      </w:r>
      <w:r w:rsidRPr="00DD7AD2">
        <w:rPr>
          <w:rFonts w:ascii="Arial" w:eastAsia="Calibri" w:hAnsi="Arial" w:cs="Arial"/>
        </w:rPr>
        <w:t>através do método de diluições sucessivas. O potencial inibitório da MMP-9 foi determinado através de um ensaio fluorométrico e também por zimografia de gelatina.</w:t>
      </w:r>
    </w:p>
    <w:p w14:paraId="0AD17AE7" w14:textId="77777777" w:rsidR="00DD7AD2" w:rsidRPr="00DD7AD2" w:rsidRDefault="00DD7AD2" w:rsidP="00DD7AD2">
      <w:pPr>
        <w:jc w:val="both"/>
        <w:rPr>
          <w:rFonts w:ascii="Arial" w:eastAsia="Calibri" w:hAnsi="Arial" w:cs="Arial"/>
          <w:b/>
          <w:bCs/>
        </w:rPr>
      </w:pPr>
      <w:r w:rsidRPr="00DD7AD2">
        <w:rPr>
          <w:rFonts w:ascii="Arial" w:eastAsia="Calibri" w:hAnsi="Arial" w:cs="Arial"/>
          <w:b/>
          <w:bCs/>
        </w:rPr>
        <w:t>Resultados:</w:t>
      </w:r>
      <w:r w:rsidRPr="00DD7AD2">
        <w:rPr>
          <w:rFonts w:ascii="Arial" w:eastAsia="Calibri" w:hAnsi="Arial" w:cs="Arial"/>
        </w:rPr>
        <w:t xml:space="preserve"> Os extratos polares e apolares de salicórnia reduziram o crescimento de </w:t>
      </w:r>
      <w:r w:rsidRPr="00DD7AD2">
        <w:rPr>
          <w:rFonts w:ascii="Arial" w:eastAsia="Calibri" w:hAnsi="Arial" w:cs="Arial"/>
          <w:i/>
          <w:iCs/>
        </w:rPr>
        <w:t>E. coli</w:t>
      </w:r>
      <w:r w:rsidRPr="00DD7AD2">
        <w:rPr>
          <w:rFonts w:ascii="Arial" w:eastAsia="Calibri" w:hAnsi="Arial" w:cs="Arial"/>
        </w:rPr>
        <w:t>, de uma forma dose-dependente. Ambos os extratos também apresentaram atividades inibidoras de MMP-9, demonstrando assim um grande potencial de exercer função anti-inflamatória bem como anti-tumoral.</w:t>
      </w:r>
    </w:p>
    <w:p w14:paraId="2164AA37" w14:textId="77777777" w:rsidR="00DD7AD2" w:rsidRPr="00DD7AD2" w:rsidRDefault="00DD7AD2" w:rsidP="00DD7AD2">
      <w:pPr>
        <w:jc w:val="both"/>
        <w:rPr>
          <w:rFonts w:ascii="Arial" w:eastAsia="Calibri" w:hAnsi="Arial" w:cs="Arial"/>
        </w:rPr>
      </w:pPr>
      <w:r w:rsidRPr="00DD7AD2">
        <w:rPr>
          <w:rFonts w:ascii="Arial" w:eastAsia="Calibri" w:hAnsi="Arial" w:cs="Arial"/>
          <w:b/>
          <w:bCs/>
        </w:rPr>
        <w:t>Conclusões:</w:t>
      </w:r>
      <w:r w:rsidRPr="00DD7AD2">
        <w:rPr>
          <w:rFonts w:ascii="Arial" w:eastAsia="Calibri" w:hAnsi="Arial" w:cs="Arial"/>
        </w:rPr>
        <w:t xml:space="preserve"> Embora esta seja uma alternativa ao sal, a salicórnia ainda não foi testada em enchidos em Portugal. Os nossos resultados demostram o potencial benéfico da sua aplicação em produtos alimentares, quer a nível de segurança e higiene alimentar, bem como para a saúde humana.</w:t>
      </w:r>
    </w:p>
    <w:p w14:paraId="2DE2BF99" w14:textId="77777777" w:rsidR="00DD7AD2" w:rsidRPr="00DD7AD2" w:rsidRDefault="00DD7AD2" w:rsidP="00DD7AD2">
      <w:pPr>
        <w:jc w:val="both"/>
        <w:rPr>
          <w:rFonts w:ascii="Arial" w:eastAsia="Calibri" w:hAnsi="Arial" w:cs="Arial"/>
          <w:b/>
          <w:bCs/>
        </w:rPr>
      </w:pPr>
    </w:p>
    <w:p w14:paraId="6EDD0C39" w14:textId="77777777" w:rsidR="00DD7AD2" w:rsidRPr="00DD7AD2" w:rsidRDefault="00DD7AD2" w:rsidP="00DD7AD2">
      <w:pPr>
        <w:jc w:val="both"/>
        <w:rPr>
          <w:rFonts w:ascii="Calibri" w:eastAsia="Calibri" w:hAnsi="Calibri" w:cs="Times New Roman"/>
        </w:rPr>
      </w:pPr>
      <w:r w:rsidRPr="00DD7AD2">
        <w:rPr>
          <w:rFonts w:ascii="Arial" w:eastAsia="Calibri" w:hAnsi="Arial" w:cs="Arial"/>
          <w:b/>
          <w:bCs/>
        </w:rPr>
        <w:t xml:space="preserve">Keywords: </w:t>
      </w:r>
      <w:r w:rsidRPr="00DD7AD2">
        <w:rPr>
          <w:rFonts w:ascii="Arial" w:eastAsia="Calibri" w:hAnsi="Arial" w:cs="Arial"/>
        </w:rPr>
        <w:t>Salicórnia; Alternativa ao sal; Segurança alimentar e saúde humana;</w:t>
      </w:r>
      <w:r w:rsidRPr="00DD7AD2">
        <w:rPr>
          <w:rFonts w:ascii="Arial" w:eastAsia="Calibri" w:hAnsi="Arial" w:cs="Arial"/>
          <w:i/>
          <w:iCs/>
        </w:rPr>
        <w:t xml:space="preserve"> Escherichia coli</w:t>
      </w:r>
      <w:r w:rsidRPr="00DD7AD2">
        <w:rPr>
          <w:rFonts w:ascii="Arial" w:eastAsia="Calibri" w:hAnsi="Arial" w:cs="Arial"/>
        </w:rPr>
        <w:t>; MMP-9.</w:t>
      </w:r>
    </w:p>
    <w:p w14:paraId="1FF31DA2" w14:textId="4BE97466" w:rsidR="00D26F57" w:rsidRPr="00D26F57" w:rsidRDefault="00D26F57" w:rsidP="001A09E8"/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1A09E8"/>
    <w:rsid w:val="00210E5F"/>
    <w:rsid w:val="002F52BB"/>
    <w:rsid w:val="00326A39"/>
    <w:rsid w:val="003B7CDC"/>
    <w:rsid w:val="00741223"/>
    <w:rsid w:val="007712FC"/>
    <w:rsid w:val="007B46CC"/>
    <w:rsid w:val="007F13FD"/>
    <w:rsid w:val="007F4AE2"/>
    <w:rsid w:val="008518FE"/>
    <w:rsid w:val="008E3C96"/>
    <w:rsid w:val="00902F30"/>
    <w:rsid w:val="00970242"/>
    <w:rsid w:val="009A67EE"/>
    <w:rsid w:val="00C05A28"/>
    <w:rsid w:val="00C20DD4"/>
    <w:rsid w:val="00CA01AD"/>
    <w:rsid w:val="00D15287"/>
    <w:rsid w:val="00D26F57"/>
    <w:rsid w:val="00DD7AD2"/>
    <w:rsid w:val="00E2769A"/>
    <w:rsid w:val="00E73986"/>
    <w:rsid w:val="00F7093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2024-01-11T17:07:00Z</dcterms:created>
  <dcterms:modified xsi:type="dcterms:W3CDTF">2024-01-11T17:07:00Z</dcterms:modified>
</cp:coreProperties>
</file>