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2842" w14:textId="77777777" w:rsidR="003828BD" w:rsidRPr="003828BD" w:rsidRDefault="003828BD" w:rsidP="003828BD">
      <w:pPr>
        <w:jc w:val="center"/>
        <w:outlineLvl w:val="1"/>
        <w:rPr>
          <w:rFonts w:ascii="Arial" w:eastAsia="Times New Roman" w:hAnsi="Arial" w:cs="Arial"/>
          <w:b/>
          <w:bCs/>
          <w:color w:val="000000"/>
          <w:sz w:val="28"/>
          <w:szCs w:val="27"/>
          <w:lang w:val="en-US" w:eastAsia="en-GB"/>
        </w:rPr>
      </w:pPr>
      <w:bookmarkStart w:id="0" w:name="_Toc135316770"/>
      <w:r w:rsidRPr="003828BD">
        <w:rPr>
          <w:rFonts w:ascii="Arial" w:eastAsia="Times New Roman" w:hAnsi="Arial" w:cs="Arial"/>
          <w:b/>
          <w:bCs/>
          <w:color w:val="000000"/>
          <w:sz w:val="28"/>
          <w:szCs w:val="27"/>
          <w:lang w:val="en-US" w:eastAsia="en-GB"/>
        </w:rPr>
        <w:t>iRhom2/ADAM17 deletion protects from obesity associated to increased adipocyte thermogenesis and differentiation and reduced adipocyte Semaphorin 4B shedding</w:t>
      </w:r>
      <w:bookmarkEnd w:id="0"/>
    </w:p>
    <w:p w14:paraId="07513436" w14:textId="77777777" w:rsidR="003828BD" w:rsidRPr="003828BD" w:rsidRDefault="003828BD" w:rsidP="003828BD">
      <w:pPr>
        <w:rPr>
          <w:rFonts w:ascii="Calibri" w:eastAsia="Calibri" w:hAnsi="Calibri" w:cs="Times New Roman"/>
          <w:b/>
          <w:bCs/>
          <w:lang w:val="en-US"/>
        </w:rPr>
      </w:pPr>
    </w:p>
    <w:p w14:paraId="514CB2FD" w14:textId="77777777" w:rsidR="003828BD" w:rsidRPr="003828BD" w:rsidRDefault="003828BD" w:rsidP="003828BD">
      <w:pPr>
        <w:jc w:val="center"/>
        <w:rPr>
          <w:rFonts w:ascii="Arial" w:eastAsia="Calibri" w:hAnsi="Arial" w:cs="Arial"/>
          <w:color w:val="000000"/>
          <w:vertAlign w:val="superscript"/>
          <w:lang w:val="pt-BR"/>
        </w:rPr>
      </w:pPr>
      <w:r w:rsidRPr="003828BD">
        <w:rPr>
          <w:rFonts w:ascii="Arial" w:eastAsia="Calibri" w:hAnsi="Arial" w:cs="Arial"/>
          <w:color w:val="000000"/>
          <w:u w:val="single"/>
          <w:lang w:val="pt-BR"/>
        </w:rPr>
        <w:t>Marina Badenes</w:t>
      </w:r>
      <w:r w:rsidRPr="003828BD">
        <w:rPr>
          <w:rFonts w:ascii="Arial" w:eastAsia="Calibri" w:hAnsi="Arial" w:cs="Arial"/>
          <w:color w:val="000000"/>
          <w:vertAlign w:val="superscript"/>
          <w:lang w:val="pt-BR"/>
        </w:rPr>
        <w:t>1,2,3</w:t>
      </w:r>
      <w:r w:rsidRPr="003828BD">
        <w:rPr>
          <w:rFonts w:ascii="Arial" w:eastAsia="Calibri" w:hAnsi="Arial" w:cs="Arial"/>
          <w:color w:val="000000"/>
          <w:lang w:val="pt-BR"/>
        </w:rPr>
        <w:t>, Abdulbasit Amin</w:t>
      </w:r>
      <w:r w:rsidRPr="003828BD">
        <w:rPr>
          <w:rFonts w:ascii="Arial" w:eastAsia="Calibri" w:hAnsi="Arial" w:cs="Arial"/>
          <w:color w:val="000000"/>
          <w:vertAlign w:val="superscript"/>
          <w:lang w:val="pt-BR"/>
        </w:rPr>
        <w:t>1,4*</w:t>
      </w:r>
      <w:r w:rsidRPr="003828BD">
        <w:rPr>
          <w:rFonts w:ascii="Arial" w:eastAsia="Calibri" w:hAnsi="Arial" w:cs="Arial"/>
          <w:color w:val="000000"/>
          <w:lang w:val="pt-BR"/>
        </w:rPr>
        <w:t>, Ismael González-García</w:t>
      </w:r>
      <w:r w:rsidRPr="003828BD">
        <w:rPr>
          <w:rFonts w:ascii="Arial" w:eastAsia="Calibri" w:hAnsi="Arial" w:cs="Arial"/>
          <w:color w:val="000000"/>
          <w:vertAlign w:val="superscript"/>
          <w:lang w:val="pt-BR"/>
        </w:rPr>
        <w:t>5</w:t>
      </w:r>
      <w:r w:rsidRPr="003828BD">
        <w:rPr>
          <w:rFonts w:ascii="Arial" w:eastAsia="Calibri" w:hAnsi="Arial" w:cs="Arial"/>
          <w:color w:val="000000"/>
          <w:lang w:val="pt-BR"/>
        </w:rPr>
        <w:t xml:space="preserve">, </w:t>
      </w:r>
      <w:r w:rsidRPr="003828BD">
        <w:rPr>
          <w:rFonts w:ascii="Arial" w:eastAsia="Calibri" w:hAnsi="Arial" w:cs="Arial"/>
          <w:shd w:val="clear" w:color="auto" w:fill="FFFFFF"/>
        </w:rPr>
        <w:t>Johanna Tüshaus</w:t>
      </w:r>
      <w:r w:rsidRPr="003828BD">
        <w:rPr>
          <w:rFonts w:ascii="Arial" w:eastAsia="Calibri" w:hAnsi="Arial" w:cs="Arial"/>
          <w:vertAlign w:val="superscript"/>
        </w:rPr>
        <w:t>6,7</w:t>
      </w:r>
      <w:r w:rsidRPr="003828BD">
        <w:rPr>
          <w:rFonts w:ascii="Arial" w:eastAsia="Calibri" w:hAnsi="Arial" w:cs="Arial"/>
        </w:rPr>
        <w:t xml:space="preserve">, </w:t>
      </w:r>
      <w:r w:rsidRPr="003828BD">
        <w:rPr>
          <w:rFonts w:ascii="Arial" w:eastAsia="Calibri" w:hAnsi="Arial" w:cs="Arial"/>
          <w:color w:val="000000"/>
          <w:lang w:val="pt-BR"/>
        </w:rPr>
        <w:t>Inês Félix</w:t>
      </w:r>
      <w:r w:rsidRPr="003828BD">
        <w:rPr>
          <w:rFonts w:ascii="Arial" w:eastAsia="Calibri" w:hAnsi="Arial" w:cs="Arial"/>
          <w:color w:val="000000"/>
          <w:vertAlign w:val="superscript"/>
          <w:lang w:val="pt-BR"/>
        </w:rPr>
        <w:t>1,8</w:t>
      </w:r>
      <w:r w:rsidRPr="003828BD">
        <w:rPr>
          <w:rFonts w:ascii="Arial" w:eastAsia="Calibri" w:hAnsi="Arial" w:cs="Arial"/>
          <w:color w:val="000000"/>
          <w:lang w:val="pt-BR"/>
        </w:rPr>
        <w:t>, Emma Burbridge</w:t>
      </w:r>
      <w:r w:rsidRPr="003828BD">
        <w:rPr>
          <w:rFonts w:ascii="Arial" w:eastAsia="Calibri" w:hAnsi="Arial" w:cs="Arial"/>
          <w:color w:val="000000"/>
          <w:vertAlign w:val="superscript"/>
          <w:lang w:val="pt-BR"/>
        </w:rPr>
        <w:t>1,9</w:t>
      </w:r>
      <w:r w:rsidRPr="003828BD">
        <w:rPr>
          <w:rFonts w:ascii="Arial" w:eastAsia="Calibri" w:hAnsi="Arial" w:cs="Arial"/>
          <w:color w:val="000000"/>
          <w:lang w:val="pt-BR"/>
        </w:rPr>
        <w:t>, Miguel Cavadas</w:t>
      </w:r>
      <w:r w:rsidRPr="003828BD">
        <w:rPr>
          <w:rFonts w:ascii="Arial" w:eastAsia="Calibri" w:hAnsi="Arial" w:cs="Arial"/>
          <w:color w:val="000000"/>
          <w:vertAlign w:val="superscript"/>
          <w:lang w:val="pt-BR"/>
        </w:rPr>
        <w:t>1</w:t>
      </w:r>
      <w:r w:rsidRPr="003828BD">
        <w:rPr>
          <w:rFonts w:ascii="Arial" w:eastAsia="Calibri" w:hAnsi="Arial" w:cs="Arial"/>
          <w:color w:val="000000"/>
          <w:lang w:val="pt-BR"/>
        </w:rPr>
        <w:t>, Francisco José Ortega</w:t>
      </w:r>
      <w:r w:rsidRPr="003828BD">
        <w:rPr>
          <w:rFonts w:ascii="Arial" w:eastAsia="Calibri" w:hAnsi="Arial" w:cs="Arial"/>
          <w:color w:val="000000"/>
          <w:vertAlign w:val="superscript"/>
          <w:lang w:val="pt-BR"/>
        </w:rPr>
        <w:t>10,11</w:t>
      </w:r>
      <w:r w:rsidRPr="003828BD">
        <w:rPr>
          <w:rFonts w:ascii="Arial" w:eastAsia="Calibri" w:hAnsi="Arial" w:cs="Arial"/>
          <w:color w:val="000000"/>
          <w:lang w:val="pt-BR"/>
        </w:rPr>
        <w:t>, Érika de Carvalho</w:t>
      </w:r>
      <w:r w:rsidRPr="003828BD">
        <w:rPr>
          <w:rFonts w:ascii="Arial" w:eastAsia="Calibri" w:hAnsi="Arial" w:cs="Arial"/>
          <w:color w:val="000000"/>
          <w:vertAlign w:val="superscript"/>
          <w:lang w:val="pt-BR"/>
        </w:rPr>
        <w:t>1</w:t>
      </w:r>
      <w:r w:rsidRPr="003828BD">
        <w:rPr>
          <w:rFonts w:ascii="Arial" w:eastAsia="Calibri" w:hAnsi="Arial" w:cs="Arial"/>
          <w:color w:val="000000"/>
          <w:lang w:val="pt-BR"/>
        </w:rPr>
        <w:t>, Pedro Faísca</w:t>
      </w:r>
      <w:r w:rsidRPr="003828BD">
        <w:rPr>
          <w:rFonts w:ascii="Arial" w:eastAsia="Calibri" w:hAnsi="Arial" w:cs="Arial"/>
          <w:color w:val="000000"/>
          <w:vertAlign w:val="superscript"/>
          <w:lang w:val="pt-BR"/>
        </w:rPr>
        <w:t>1</w:t>
      </w:r>
      <w:r w:rsidRPr="003828BD">
        <w:rPr>
          <w:rFonts w:ascii="Arial" w:eastAsia="Calibri" w:hAnsi="Arial" w:cs="Arial"/>
          <w:color w:val="000000"/>
          <w:lang w:val="pt-BR"/>
        </w:rPr>
        <w:t xml:space="preserve">, </w:t>
      </w:r>
      <w:r w:rsidRPr="003828BD">
        <w:rPr>
          <w:rFonts w:ascii="Arial" w:eastAsia="Calibri" w:hAnsi="Arial" w:cs="Arial"/>
        </w:rPr>
        <w:t>Květa Trávníčková</w:t>
      </w:r>
      <w:r w:rsidRPr="003828BD">
        <w:rPr>
          <w:rFonts w:ascii="Arial" w:eastAsia="Calibri" w:hAnsi="Arial" w:cs="Arial"/>
          <w:vertAlign w:val="superscript"/>
        </w:rPr>
        <w:t>12</w:t>
      </w:r>
      <w:r w:rsidRPr="003828BD">
        <w:rPr>
          <w:rFonts w:ascii="Arial" w:eastAsia="Calibri" w:hAnsi="Arial" w:cs="Arial"/>
        </w:rPr>
        <w:t>, André Barros</w:t>
      </w:r>
      <w:r w:rsidRPr="003828BD">
        <w:rPr>
          <w:rFonts w:ascii="Arial" w:eastAsia="Calibri" w:hAnsi="Arial" w:cs="Arial"/>
          <w:vertAlign w:val="superscript"/>
        </w:rPr>
        <w:t>1</w:t>
      </w:r>
      <w:r w:rsidRPr="003828BD">
        <w:rPr>
          <w:rFonts w:ascii="Arial" w:eastAsia="Calibri" w:hAnsi="Arial" w:cs="Arial"/>
        </w:rPr>
        <w:t xml:space="preserve">, </w:t>
      </w:r>
      <w:r w:rsidRPr="003828BD">
        <w:rPr>
          <w:rFonts w:ascii="Arial" w:eastAsia="Calibri" w:hAnsi="Arial" w:cs="Arial"/>
          <w:color w:val="000000"/>
          <w:lang w:val="pt-BR"/>
        </w:rPr>
        <w:t>Stefania Carobbio</w:t>
      </w:r>
      <w:r w:rsidRPr="003828BD">
        <w:rPr>
          <w:rFonts w:ascii="Arial" w:eastAsia="Calibri" w:hAnsi="Arial" w:cs="Arial"/>
          <w:color w:val="000000"/>
          <w:vertAlign w:val="superscript"/>
          <w:lang w:val="pt-BR"/>
        </w:rPr>
        <w:t>13,14</w:t>
      </w:r>
      <w:r w:rsidRPr="003828BD">
        <w:rPr>
          <w:rFonts w:ascii="Arial" w:eastAsia="Calibri" w:hAnsi="Arial" w:cs="Arial"/>
          <w:color w:val="000000"/>
          <w:lang w:val="pt-BR"/>
        </w:rPr>
        <w:t>, Elsa Seixas</w:t>
      </w:r>
      <w:r w:rsidRPr="003828BD">
        <w:rPr>
          <w:rFonts w:ascii="Arial" w:eastAsia="Calibri" w:hAnsi="Arial" w:cs="Arial"/>
          <w:color w:val="000000"/>
          <w:vertAlign w:val="superscript"/>
          <w:lang w:val="pt-BR"/>
        </w:rPr>
        <w:t>1</w:t>
      </w:r>
      <w:r w:rsidRPr="003828BD">
        <w:rPr>
          <w:rFonts w:ascii="Arial" w:eastAsia="Calibri" w:hAnsi="Arial" w:cs="Arial"/>
          <w:color w:val="000000"/>
          <w:lang w:val="pt-BR"/>
        </w:rPr>
        <w:t>, Dora Pedroso</w:t>
      </w:r>
      <w:r w:rsidRPr="003828BD">
        <w:rPr>
          <w:rFonts w:ascii="Arial" w:eastAsia="Calibri" w:hAnsi="Arial" w:cs="Arial"/>
          <w:color w:val="000000"/>
          <w:vertAlign w:val="superscript"/>
          <w:lang w:val="pt-BR"/>
        </w:rPr>
        <w:t>1</w:t>
      </w:r>
      <w:r w:rsidRPr="003828BD">
        <w:rPr>
          <w:rFonts w:ascii="Arial" w:eastAsia="Calibri" w:hAnsi="Arial" w:cs="Arial"/>
          <w:color w:val="000000"/>
          <w:lang w:val="pt-BR"/>
        </w:rPr>
        <w:t>, Ana Neves-Costa</w:t>
      </w:r>
      <w:r w:rsidRPr="003828BD">
        <w:rPr>
          <w:rFonts w:ascii="Arial" w:eastAsia="Calibri" w:hAnsi="Arial" w:cs="Arial"/>
          <w:color w:val="000000"/>
          <w:vertAlign w:val="superscript"/>
          <w:lang w:val="pt-BR"/>
        </w:rPr>
        <w:t>1</w:t>
      </w:r>
      <w:r w:rsidRPr="003828BD">
        <w:rPr>
          <w:rFonts w:ascii="Arial" w:eastAsia="Calibri" w:hAnsi="Arial" w:cs="Arial"/>
          <w:color w:val="000000"/>
          <w:lang w:val="pt-BR"/>
        </w:rPr>
        <w:t xml:space="preserve">, </w:t>
      </w:r>
      <w:r w:rsidRPr="003828BD">
        <w:rPr>
          <w:rFonts w:ascii="Arial" w:eastAsia="Calibri" w:hAnsi="Arial" w:cs="Arial"/>
        </w:rPr>
        <w:t xml:space="preserve">Pedro </w:t>
      </w:r>
      <w:r w:rsidRPr="003828BD">
        <w:rPr>
          <w:rFonts w:ascii="Arial" w:eastAsia="Calibri" w:hAnsi="Arial" w:cs="Arial"/>
          <w:color w:val="000000"/>
        </w:rPr>
        <w:t xml:space="preserve">M. </w:t>
      </w:r>
      <w:r w:rsidRPr="003828BD">
        <w:rPr>
          <w:rFonts w:ascii="Arial" w:eastAsia="Calibri" w:hAnsi="Arial" w:cs="Arial"/>
        </w:rPr>
        <w:t>Domingos</w:t>
      </w:r>
      <w:r w:rsidRPr="003828BD">
        <w:rPr>
          <w:rFonts w:ascii="Arial" w:eastAsia="Calibri" w:hAnsi="Arial" w:cs="Arial"/>
          <w:vertAlign w:val="superscript"/>
        </w:rPr>
        <w:t>15</w:t>
      </w:r>
      <w:r w:rsidRPr="003828BD">
        <w:rPr>
          <w:rFonts w:ascii="Arial" w:eastAsia="Calibri" w:hAnsi="Arial" w:cs="Arial"/>
        </w:rPr>
        <w:t>,</w:t>
      </w:r>
      <w:r w:rsidRPr="003828BD">
        <w:rPr>
          <w:rFonts w:ascii="Arial" w:eastAsia="Calibri" w:hAnsi="Arial" w:cs="Arial"/>
          <w:color w:val="000000"/>
          <w:lang w:val="pt-BR"/>
        </w:rPr>
        <w:t xml:space="preserve"> Luís F. Moita</w:t>
      </w:r>
      <w:r w:rsidRPr="003828BD">
        <w:rPr>
          <w:rFonts w:ascii="Arial" w:eastAsia="Calibri" w:hAnsi="Arial" w:cs="Arial"/>
          <w:color w:val="000000"/>
          <w:vertAlign w:val="superscript"/>
          <w:lang w:val="pt-BR"/>
        </w:rPr>
        <w:t>1</w:t>
      </w:r>
      <w:r w:rsidRPr="003828BD">
        <w:rPr>
          <w:rFonts w:ascii="Arial" w:eastAsia="Calibri" w:hAnsi="Arial" w:cs="Arial"/>
          <w:color w:val="000000"/>
          <w:lang w:val="pt-BR"/>
        </w:rPr>
        <w:t xml:space="preserve">, </w:t>
      </w:r>
      <w:r w:rsidRPr="003828BD">
        <w:rPr>
          <w:rFonts w:ascii="Arial" w:eastAsia="Calibri" w:hAnsi="Arial" w:cs="Arial"/>
        </w:rPr>
        <w:t>Sarah Maguire</w:t>
      </w:r>
      <w:r w:rsidRPr="003828BD">
        <w:rPr>
          <w:rFonts w:ascii="Arial" w:eastAsia="Calibri" w:hAnsi="Arial" w:cs="Arial"/>
          <w:vertAlign w:val="superscript"/>
        </w:rPr>
        <w:t>9</w:t>
      </w:r>
      <w:r w:rsidRPr="003828BD">
        <w:rPr>
          <w:rFonts w:ascii="Arial" w:eastAsia="Calibri" w:hAnsi="Arial" w:cs="Arial"/>
        </w:rPr>
        <w:t>, Kvido Stříšovský</w:t>
      </w:r>
      <w:r w:rsidRPr="003828BD">
        <w:rPr>
          <w:rFonts w:ascii="Arial" w:eastAsia="Calibri" w:hAnsi="Arial" w:cs="Arial"/>
          <w:vertAlign w:val="superscript"/>
        </w:rPr>
        <w:t>12</w:t>
      </w:r>
      <w:r w:rsidRPr="003828BD">
        <w:rPr>
          <w:rFonts w:ascii="Arial" w:eastAsia="Calibri" w:hAnsi="Arial" w:cs="Arial"/>
        </w:rPr>
        <w:t xml:space="preserve">, </w:t>
      </w:r>
      <w:r w:rsidRPr="003828BD">
        <w:rPr>
          <w:rFonts w:ascii="Arial" w:eastAsia="Calibri" w:hAnsi="Arial" w:cs="Arial"/>
          <w:color w:val="000000"/>
          <w:lang w:val="pt-BR"/>
        </w:rPr>
        <w:t>José Manuel Fernández-Real</w:t>
      </w:r>
      <w:r w:rsidRPr="003828BD">
        <w:rPr>
          <w:rFonts w:ascii="Arial" w:eastAsia="Calibri" w:hAnsi="Arial" w:cs="Arial"/>
          <w:color w:val="000000"/>
          <w:vertAlign w:val="superscript"/>
          <w:lang w:val="pt-BR"/>
        </w:rPr>
        <w:t>10,11</w:t>
      </w:r>
      <w:r w:rsidRPr="003828BD">
        <w:rPr>
          <w:rFonts w:ascii="Arial" w:eastAsia="Calibri" w:hAnsi="Arial" w:cs="Arial"/>
          <w:color w:val="000000"/>
          <w:lang w:val="pt-BR"/>
        </w:rPr>
        <w:t>, António Vidal-Puig</w:t>
      </w:r>
      <w:r w:rsidRPr="003828BD">
        <w:rPr>
          <w:rFonts w:ascii="Arial" w:eastAsia="Calibri" w:hAnsi="Arial" w:cs="Arial"/>
          <w:color w:val="000000"/>
          <w:vertAlign w:val="superscript"/>
          <w:lang w:val="pt-BR"/>
        </w:rPr>
        <w:t>13,14</w:t>
      </w:r>
      <w:r w:rsidRPr="003828BD">
        <w:rPr>
          <w:rFonts w:ascii="Arial" w:eastAsia="Calibri" w:hAnsi="Arial" w:cs="Arial"/>
          <w:color w:val="000000"/>
          <w:lang w:val="pt-BR"/>
        </w:rPr>
        <w:t>, Ana Domingos</w:t>
      </w:r>
      <w:r w:rsidRPr="003828BD">
        <w:rPr>
          <w:rFonts w:ascii="Arial" w:eastAsia="Calibri" w:hAnsi="Arial" w:cs="Arial"/>
          <w:color w:val="000000"/>
          <w:vertAlign w:val="superscript"/>
          <w:lang w:val="pt-BR"/>
        </w:rPr>
        <w:t>1,16</w:t>
      </w:r>
      <w:r w:rsidRPr="003828BD">
        <w:rPr>
          <w:rFonts w:ascii="Arial" w:eastAsia="Calibri" w:hAnsi="Arial" w:cs="Arial"/>
          <w:color w:val="000000"/>
          <w:lang w:val="pt-BR"/>
        </w:rPr>
        <w:t>, Miguel López</w:t>
      </w:r>
      <w:r w:rsidRPr="003828BD">
        <w:rPr>
          <w:rFonts w:ascii="Arial" w:eastAsia="Calibri" w:hAnsi="Arial" w:cs="Arial"/>
          <w:color w:val="000000"/>
          <w:vertAlign w:val="superscript"/>
          <w:lang w:val="pt-BR"/>
        </w:rPr>
        <w:t>5</w:t>
      </w:r>
      <w:r w:rsidRPr="003828BD">
        <w:rPr>
          <w:rFonts w:ascii="Arial" w:eastAsia="Calibri" w:hAnsi="Arial" w:cs="Arial"/>
          <w:color w:val="000000"/>
          <w:lang w:val="pt-BR"/>
        </w:rPr>
        <w:t>, Colin Adrain</w:t>
      </w:r>
      <w:r w:rsidRPr="003828BD">
        <w:rPr>
          <w:rFonts w:ascii="Arial" w:eastAsia="Calibri" w:hAnsi="Arial" w:cs="Arial"/>
          <w:color w:val="000000"/>
          <w:vertAlign w:val="superscript"/>
          <w:lang w:val="pt-BR"/>
        </w:rPr>
        <w:t>1,9</w:t>
      </w:r>
    </w:p>
    <w:p w14:paraId="067B76AB" w14:textId="77777777" w:rsidR="003828BD" w:rsidRPr="003828BD" w:rsidRDefault="003828BD" w:rsidP="003828BD">
      <w:pPr>
        <w:jc w:val="both"/>
        <w:rPr>
          <w:rFonts w:ascii="Arial" w:eastAsia="Calibri" w:hAnsi="Arial" w:cs="Arial"/>
          <w:color w:val="000000"/>
          <w:sz w:val="20"/>
          <w:szCs w:val="20"/>
          <w:vertAlign w:val="superscript"/>
          <w:lang w:val="pt-BR"/>
        </w:rPr>
      </w:pPr>
    </w:p>
    <w:p w14:paraId="49844108" w14:textId="77777777" w:rsidR="003828BD" w:rsidRPr="003828BD" w:rsidRDefault="003828BD" w:rsidP="003828BD">
      <w:pPr>
        <w:jc w:val="both"/>
        <w:rPr>
          <w:rFonts w:ascii="Arial" w:eastAsia="Calibri" w:hAnsi="Arial" w:cs="Arial"/>
          <w:color w:val="000000"/>
          <w:sz w:val="20"/>
          <w:szCs w:val="20"/>
          <w:lang w:val="en-US"/>
        </w:rPr>
      </w:pPr>
      <w:r w:rsidRPr="003828BD">
        <w:rPr>
          <w:rFonts w:ascii="Arial" w:eastAsia="Calibri" w:hAnsi="Arial" w:cs="Arial"/>
          <w:color w:val="000000"/>
          <w:sz w:val="20"/>
          <w:szCs w:val="20"/>
          <w:lang w:val="en-US"/>
        </w:rPr>
        <w:t xml:space="preserve">*first author of the study part on ADAM17. </w:t>
      </w:r>
    </w:p>
    <w:p w14:paraId="71BFB19C" w14:textId="77777777" w:rsidR="003828BD" w:rsidRPr="003828BD" w:rsidRDefault="003828BD" w:rsidP="003828BD">
      <w:pPr>
        <w:jc w:val="both"/>
        <w:rPr>
          <w:rFonts w:ascii="Arial" w:eastAsia="Calibri" w:hAnsi="Arial" w:cs="Arial"/>
          <w:b/>
          <w:bCs/>
          <w:sz w:val="20"/>
          <w:szCs w:val="20"/>
          <w:lang w:val="en-US"/>
        </w:rPr>
      </w:pPr>
    </w:p>
    <w:p w14:paraId="620DA87A" w14:textId="77777777" w:rsidR="003828BD" w:rsidRPr="003828BD" w:rsidRDefault="003828BD" w:rsidP="003828BD">
      <w:pPr>
        <w:jc w:val="both"/>
        <w:rPr>
          <w:rFonts w:ascii="Arial" w:eastAsia="Calibri" w:hAnsi="Arial" w:cs="Arial"/>
          <w:color w:val="000000"/>
          <w:sz w:val="20"/>
          <w:szCs w:val="20"/>
        </w:rPr>
      </w:pPr>
      <w:r w:rsidRPr="003828BD">
        <w:rPr>
          <w:rFonts w:ascii="Arial" w:eastAsia="Calibri" w:hAnsi="Arial" w:cs="Arial"/>
          <w:color w:val="000000"/>
          <w:sz w:val="20"/>
          <w:szCs w:val="20"/>
          <w:vertAlign w:val="superscript"/>
        </w:rPr>
        <w:t>1</w:t>
      </w:r>
      <w:r w:rsidRPr="003828BD">
        <w:rPr>
          <w:rFonts w:ascii="Arial" w:eastAsia="Calibri" w:hAnsi="Arial" w:cs="Arial"/>
          <w:color w:val="000000"/>
          <w:sz w:val="20"/>
          <w:szCs w:val="20"/>
        </w:rPr>
        <w:t>Instituto Gulbenkian de Ciência (IGC), Oeiras, Portugal</w:t>
      </w:r>
    </w:p>
    <w:p w14:paraId="4105456F" w14:textId="77777777" w:rsidR="003828BD" w:rsidRPr="003828BD" w:rsidRDefault="003828BD" w:rsidP="003828BD">
      <w:pPr>
        <w:jc w:val="both"/>
        <w:rPr>
          <w:rFonts w:ascii="Arial" w:eastAsia="Calibri" w:hAnsi="Arial" w:cs="Arial"/>
          <w:sz w:val="20"/>
          <w:szCs w:val="20"/>
          <w:shd w:val="clear" w:color="auto" w:fill="FFFFFF"/>
          <w:lang w:val="en-US"/>
        </w:rPr>
      </w:pPr>
      <w:r w:rsidRPr="003828BD">
        <w:rPr>
          <w:rFonts w:ascii="Arial" w:eastAsia="Calibri" w:hAnsi="Arial" w:cs="Arial"/>
          <w:sz w:val="20"/>
          <w:szCs w:val="20"/>
          <w:vertAlign w:val="superscript"/>
          <w:lang w:val="en-GB"/>
        </w:rPr>
        <w:t>2</w:t>
      </w:r>
      <w:r w:rsidRPr="003828BD">
        <w:rPr>
          <w:rFonts w:ascii="Arial" w:eastAsia="Calibri" w:hAnsi="Arial" w:cs="Arial"/>
          <w:sz w:val="20"/>
          <w:szCs w:val="20"/>
          <w:shd w:val="clear" w:color="auto" w:fill="FFFFFF"/>
          <w:lang w:val="en-US"/>
        </w:rPr>
        <w:t>Faculty of Veterinary Medicine, Lusofona University, Lisbon, Portugal</w:t>
      </w:r>
    </w:p>
    <w:p w14:paraId="0245897F" w14:textId="77777777" w:rsidR="003828BD" w:rsidRPr="003828BD" w:rsidRDefault="003828BD" w:rsidP="003828BD">
      <w:pPr>
        <w:jc w:val="both"/>
        <w:rPr>
          <w:rFonts w:ascii="Arial" w:eastAsia="Calibri" w:hAnsi="Arial" w:cs="Arial"/>
          <w:sz w:val="20"/>
          <w:szCs w:val="20"/>
          <w:shd w:val="clear" w:color="auto" w:fill="FFFFFF"/>
          <w:lang w:val="en-US"/>
        </w:rPr>
      </w:pPr>
      <w:r w:rsidRPr="003828BD">
        <w:rPr>
          <w:rFonts w:ascii="Arial" w:eastAsia="Calibri" w:hAnsi="Arial" w:cs="Arial"/>
          <w:sz w:val="20"/>
          <w:szCs w:val="20"/>
          <w:shd w:val="clear" w:color="auto" w:fill="FFFFFF"/>
          <w:vertAlign w:val="superscript"/>
          <w:lang w:val="en-US"/>
        </w:rPr>
        <w:t>3</w:t>
      </w:r>
      <w:r w:rsidRPr="003828BD">
        <w:rPr>
          <w:rFonts w:ascii="Arial" w:eastAsia="Calibri" w:hAnsi="Arial" w:cs="Arial"/>
          <w:sz w:val="20"/>
          <w:szCs w:val="20"/>
          <w:shd w:val="clear" w:color="auto" w:fill="FFFFFF"/>
          <w:lang w:val="en-US"/>
        </w:rPr>
        <w:t>Faculty of Veterinary Nursing, Polytechnic Institute of Lusofonia, Lisbon, Portugal</w:t>
      </w:r>
    </w:p>
    <w:p w14:paraId="40B87C44" w14:textId="77777777" w:rsidR="003828BD" w:rsidRPr="003828BD" w:rsidRDefault="003828BD" w:rsidP="003828BD">
      <w:pPr>
        <w:jc w:val="both"/>
        <w:rPr>
          <w:rFonts w:ascii="Arial" w:eastAsia="Calibri" w:hAnsi="Arial" w:cs="Arial"/>
          <w:color w:val="000000"/>
          <w:sz w:val="20"/>
          <w:szCs w:val="20"/>
          <w:lang w:val="en-GB"/>
        </w:rPr>
      </w:pPr>
      <w:r w:rsidRPr="003828BD">
        <w:rPr>
          <w:rFonts w:ascii="Arial" w:eastAsia="Calibri" w:hAnsi="Arial" w:cs="Arial"/>
          <w:color w:val="000000"/>
          <w:sz w:val="20"/>
          <w:szCs w:val="20"/>
          <w:vertAlign w:val="superscript"/>
          <w:lang w:val="en-GB"/>
        </w:rPr>
        <w:t>4</w:t>
      </w:r>
      <w:r w:rsidRPr="003828BD">
        <w:rPr>
          <w:rFonts w:ascii="Arial" w:eastAsia="Calibri" w:hAnsi="Arial" w:cs="Arial"/>
          <w:color w:val="000000"/>
          <w:sz w:val="20"/>
          <w:szCs w:val="20"/>
          <w:lang w:val="en-GB"/>
        </w:rPr>
        <w:t>Department of Physiology, Faculty of Basic Medical Sciences, University of Ilorin, Nigeria</w:t>
      </w:r>
    </w:p>
    <w:p w14:paraId="00842037" w14:textId="77777777" w:rsidR="003828BD" w:rsidRPr="003828BD" w:rsidRDefault="003828BD" w:rsidP="003828BD">
      <w:pPr>
        <w:jc w:val="both"/>
        <w:rPr>
          <w:rFonts w:ascii="Arial" w:eastAsia="Calibri" w:hAnsi="Arial" w:cs="Arial"/>
          <w:color w:val="000000"/>
          <w:sz w:val="20"/>
          <w:szCs w:val="20"/>
        </w:rPr>
      </w:pPr>
      <w:r w:rsidRPr="003828BD">
        <w:rPr>
          <w:rFonts w:ascii="Arial" w:eastAsia="Calibri" w:hAnsi="Arial" w:cs="Arial"/>
          <w:color w:val="000000"/>
          <w:sz w:val="20"/>
          <w:szCs w:val="20"/>
          <w:vertAlign w:val="superscript"/>
        </w:rPr>
        <w:t>5</w:t>
      </w:r>
      <w:r w:rsidRPr="003828BD">
        <w:rPr>
          <w:rFonts w:ascii="Arial" w:eastAsia="Calibri" w:hAnsi="Arial" w:cs="Arial"/>
          <w:color w:val="000000"/>
          <w:sz w:val="20"/>
          <w:szCs w:val="20"/>
        </w:rPr>
        <w:t>NeurObesity Group, Department of Physiology, CiMUS, University of Santiago de Compostela-Instituto de Investigación Sanitaria, Santiago de Compostela Spain; CIBER Fisiopatología de la Obesidad y Nutrición (CIBERobn), Santiago de Compostela Spain</w:t>
      </w:r>
    </w:p>
    <w:p w14:paraId="67D48A7C" w14:textId="77777777" w:rsidR="003828BD" w:rsidRPr="003828BD" w:rsidRDefault="003828BD" w:rsidP="003828BD">
      <w:pPr>
        <w:jc w:val="both"/>
        <w:rPr>
          <w:rFonts w:ascii="Arial" w:eastAsia="Calibri" w:hAnsi="Arial" w:cs="Arial"/>
          <w:sz w:val="20"/>
          <w:szCs w:val="20"/>
          <w:lang w:val="en-GB"/>
        </w:rPr>
      </w:pPr>
      <w:r w:rsidRPr="003828BD">
        <w:rPr>
          <w:rFonts w:ascii="Arial" w:eastAsia="Calibri" w:hAnsi="Arial" w:cs="Arial"/>
          <w:sz w:val="20"/>
          <w:szCs w:val="20"/>
          <w:vertAlign w:val="superscript"/>
          <w:lang w:val="en-US"/>
        </w:rPr>
        <w:t>6</w:t>
      </w:r>
      <w:r w:rsidRPr="003828BD">
        <w:rPr>
          <w:rFonts w:ascii="Arial" w:eastAsia="Calibri" w:hAnsi="Arial" w:cs="Arial"/>
          <w:sz w:val="20"/>
          <w:szCs w:val="20"/>
          <w:lang w:val="en-GB"/>
        </w:rPr>
        <w:t>German Center for Neurodegenerative Diseases (DZNE), Munich, Germany</w:t>
      </w:r>
    </w:p>
    <w:p w14:paraId="5FD1B334" w14:textId="77777777" w:rsidR="003828BD" w:rsidRPr="003828BD" w:rsidRDefault="003828BD" w:rsidP="003828BD">
      <w:pPr>
        <w:jc w:val="both"/>
        <w:rPr>
          <w:rFonts w:ascii="Arial" w:eastAsia="Calibri" w:hAnsi="Arial" w:cs="Arial"/>
          <w:sz w:val="20"/>
          <w:szCs w:val="20"/>
          <w:lang w:val="en-US"/>
        </w:rPr>
      </w:pPr>
      <w:r w:rsidRPr="003828BD">
        <w:rPr>
          <w:rFonts w:ascii="Arial" w:eastAsia="Calibri" w:hAnsi="Arial" w:cs="Arial"/>
          <w:sz w:val="20"/>
          <w:szCs w:val="20"/>
          <w:vertAlign w:val="superscript"/>
          <w:lang w:val="en-GB"/>
        </w:rPr>
        <w:t>7</w:t>
      </w:r>
      <w:r w:rsidRPr="003828BD">
        <w:rPr>
          <w:rFonts w:ascii="Arial" w:eastAsia="Calibri" w:hAnsi="Arial" w:cs="Arial"/>
          <w:sz w:val="20"/>
          <w:szCs w:val="20"/>
          <w:lang w:val="en-US"/>
        </w:rPr>
        <w:t>Neuroproteomics, School of Medicine, Klinikum rechts der Isar, Technical University of Munich, Munich, Germany</w:t>
      </w:r>
    </w:p>
    <w:p w14:paraId="0AD4B65F" w14:textId="77777777" w:rsidR="003828BD" w:rsidRPr="003828BD" w:rsidRDefault="003828BD" w:rsidP="003828BD">
      <w:pPr>
        <w:jc w:val="both"/>
        <w:textAlignment w:val="baseline"/>
        <w:rPr>
          <w:rFonts w:ascii="Arial" w:eastAsia="Calibri" w:hAnsi="Arial" w:cs="Arial"/>
          <w:color w:val="000000"/>
          <w:sz w:val="20"/>
          <w:szCs w:val="20"/>
          <w:lang w:val="en-GB"/>
        </w:rPr>
      </w:pPr>
      <w:r w:rsidRPr="003828BD">
        <w:rPr>
          <w:rFonts w:ascii="Arial" w:eastAsia="Calibri" w:hAnsi="Arial" w:cs="Arial"/>
          <w:color w:val="000000"/>
          <w:sz w:val="20"/>
          <w:szCs w:val="20"/>
          <w:vertAlign w:val="superscript"/>
          <w:lang w:val="en-US"/>
        </w:rPr>
        <w:t>8</w:t>
      </w:r>
      <w:r w:rsidRPr="003828BD">
        <w:rPr>
          <w:rFonts w:ascii="Arial" w:eastAsia="Times New Roman" w:hAnsi="Arial" w:cs="Arial"/>
          <w:color w:val="000000"/>
          <w:sz w:val="20"/>
          <w:szCs w:val="20"/>
          <w:lang w:val="en-US"/>
        </w:rPr>
        <w:t>Institute</w:t>
      </w:r>
      <w:r w:rsidRPr="003828BD">
        <w:rPr>
          <w:rFonts w:ascii="Arial" w:eastAsia="Calibri" w:hAnsi="Arial" w:cs="Arial"/>
          <w:color w:val="000000"/>
          <w:sz w:val="20"/>
          <w:szCs w:val="20"/>
          <w:lang w:val="en-US"/>
        </w:rPr>
        <w:t xml:space="preserve"> </w:t>
      </w:r>
      <w:r w:rsidRPr="003828BD">
        <w:rPr>
          <w:rFonts w:ascii="Arial" w:eastAsia="Times New Roman" w:hAnsi="Arial" w:cs="Arial"/>
          <w:color w:val="000000"/>
          <w:sz w:val="20"/>
          <w:szCs w:val="20"/>
          <w:lang w:val="en-US"/>
        </w:rPr>
        <w:t>of</w:t>
      </w:r>
      <w:r w:rsidRPr="003828BD">
        <w:rPr>
          <w:rFonts w:ascii="Arial" w:eastAsia="Calibri" w:hAnsi="Arial" w:cs="Arial"/>
          <w:color w:val="000000"/>
          <w:sz w:val="20"/>
          <w:szCs w:val="20"/>
          <w:lang w:val="en-US"/>
        </w:rPr>
        <w:t xml:space="preserve"> </w:t>
      </w:r>
      <w:r w:rsidRPr="003828BD">
        <w:rPr>
          <w:rFonts w:ascii="Arial" w:eastAsia="Times New Roman" w:hAnsi="Arial" w:cs="Arial"/>
          <w:color w:val="000000"/>
          <w:sz w:val="20"/>
          <w:szCs w:val="20"/>
          <w:lang w:val="en-US"/>
        </w:rPr>
        <w:t>Biomedicine</w:t>
      </w:r>
      <w:r w:rsidRPr="003828BD">
        <w:rPr>
          <w:rFonts w:ascii="Arial" w:eastAsia="Calibri" w:hAnsi="Arial" w:cs="Arial"/>
          <w:color w:val="000000"/>
          <w:sz w:val="20"/>
          <w:szCs w:val="20"/>
          <w:lang w:val="en-US"/>
        </w:rPr>
        <w:t xml:space="preserve">, </w:t>
      </w:r>
      <w:r w:rsidRPr="003828BD">
        <w:rPr>
          <w:rFonts w:ascii="Arial" w:eastAsia="Times New Roman" w:hAnsi="Arial" w:cs="Arial"/>
          <w:color w:val="000000"/>
          <w:sz w:val="20"/>
          <w:szCs w:val="20"/>
          <w:lang w:val="en-US"/>
        </w:rPr>
        <w:t>University</w:t>
      </w:r>
      <w:r w:rsidRPr="003828BD">
        <w:rPr>
          <w:rFonts w:ascii="Arial" w:eastAsia="Calibri" w:hAnsi="Arial" w:cs="Arial"/>
          <w:color w:val="000000"/>
          <w:sz w:val="20"/>
          <w:szCs w:val="20"/>
          <w:lang w:val="en-US"/>
        </w:rPr>
        <w:t xml:space="preserve"> </w:t>
      </w:r>
      <w:r w:rsidRPr="003828BD">
        <w:rPr>
          <w:rFonts w:ascii="Arial" w:eastAsia="Times New Roman" w:hAnsi="Arial" w:cs="Arial"/>
          <w:color w:val="000000"/>
          <w:sz w:val="20"/>
          <w:szCs w:val="20"/>
          <w:lang w:val="en-US"/>
        </w:rPr>
        <w:t>of</w:t>
      </w:r>
      <w:r w:rsidRPr="003828BD">
        <w:rPr>
          <w:rFonts w:ascii="Arial" w:eastAsia="Calibri" w:hAnsi="Arial" w:cs="Arial"/>
          <w:color w:val="000000"/>
          <w:sz w:val="20"/>
          <w:szCs w:val="20"/>
          <w:lang w:val="en-US"/>
        </w:rPr>
        <w:t xml:space="preserve"> </w:t>
      </w:r>
      <w:r w:rsidRPr="003828BD">
        <w:rPr>
          <w:rFonts w:ascii="Arial" w:eastAsia="Times New Roman" w:hAnsi="Arial" w:cs="Arial"/>
          <w:color w:val="000000"/>
          <w:sz w:val="20"/>
          <w:szCs w:val="20"/>
          <w:lang w:val="en-US"/>
        </w:rPr>
        <w:t>Turku</w:t>
      </w:r>
      <w:r w:rsidRPr="003828BD">
        <w:rPr>
          <w:rFonts w:ascii="Arial" w:eastAsia="Calibri" w:hAnsi="Arial" w:cs="Arial"/>
          <w:color w:val="000000"/>
          <w:sz w:val="20"/>
          <w:szCs w:val="20"/>
          <w:lang w:val="en-US"/>
        </w:rPr>
        <w:t xml:space="preserve">, </w:t>
      </w:r>
      <w:r w:rsidRPr="003828BD">
        <w:rPr>
          <w:rFonts w:ascii="Arial" w:eastAsia="Times New Roman" w:hAnsi="Arial" w:cs="Arial"/>
          <w:color w:val="000000"/>
          <w:sz w:val="20"/>
          <w:szCs w:val="20"/>
          <w:lang w:val="en-US"/>
        </w:rPr>
        <w:t>Turku</w:t>
      </w:r>
      <w:r w:rsidRPr="003828BD">
        <w:rPr>
          <w:rFonts w:ascii="Arial" w:eastAsia="Calibri" w:hAnsi="Arial" w:cs="Arial"/>
          <w:color w:val="000000"/>
          <w:sz w:val="20"/>
          <w:szCs w:val="20"/>
          <w:lang w:val="en-US"/>
        </w:rPr>
        <w:t>, </w:t>
      </w:r>
      <w:r w:rsidRPr="003828BD">
        <w:rPr>
          <w:rFonts w:ascii="Arial" w:eastAsia="Times New Roman" w:hAnsi="Arial" w:cs="Arial"/>
          <w:color w:val="000000"/>
          <w:sz w:val="20"/>
          <w:szCs w:val="20"/>
          <w:lang w:val="en-US"/>
        </w:rPr>
        <w:t>Finland</w:t>
      </w:r>
      <w:r w:rsidRPr="003828BD">
        <w:rPr>
          <w:rFonts w:ascii="Arial" w:eastAsia="Calibri" w:hAnsi="Arial" w:cs="Arial"/>
          <w:color w:val="000000"/>
          <w:sz w:val="20"/>
          <w:szCs w:val="20"/>
          <w:lang w:val="en-US"/>
        </w:rPr>
        <w:t xml:space="preserve">; </w:t>
      </w:r>
      <w:r w:rsidRPr="003828BD">
        <w:rPr>
          <w:rFonts w:ascii="Arial" w:eastAsia="Times New Roman" w:hAnsi="Arial" w:cs="Arial"/>
          <w:color w:val="000000"/>
          <w:sz w:val="20"/>
          <w:szCs w:val="20"/>
          <w:lang w:val="en-GB"/>
        </w:rPr>
        <w:t>Turku</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Bioscience</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Centre</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University</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of</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Turku</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and</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Åbo</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Akademi</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University</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Turku</w:t>
      </w:r>
      <w:r w:rsidRPr="003828BD">
        <w:rPr>
          <w:rFonts w:ascii="Arial" w:eastAsia="Calibri" w:hAnsi="Arial" w:cs="Arial"/>
          <w:color w:val="000000"/>
          <w:sz w:val="20"/>
          <w:szCs w:val="20"/>
          <w:lang w:val="en-GB"/>
        </w:rPr>
        <w:t xml:space="preserve">, </w:t>
      </w:r>
      <w:r w:rsidRPr="003828BD">
        <w:rPr>
          <w:rFonts w:ascii="Arial" w:eastAsia="Times New Roman" w:hAnsi="Arial" w:cs="Arial"/>
          <w:color w:val="000000"/>
          <w:sz w:val="20"/>
          <w:szCs w:val="20"/>
          <w:lang w:val="en-GB"/>
        </w:rPr>
        <w:t>Finland</w:t>
      </w:r>
    </w:p>
    <w:p w14:paraId="1D65243E" w14:textId="77777777" w:rsidR="003828BD" w:rsidRPr="003828BD" w:rsidRDefault="003828BD" w:rsidP="003828BD">
      <w:pPr>
        <w:jc w:val="both"/>
        <w:rPr>
          <w:rFonts w:ascii="Arial" w:eastAsia="Calibri" w:hAnsi="Arial" w:cs="Arial"/>
          <w:sz w:val="20"/>
          <w:szCs w:val="20"/>
          <w:lang w:val="en-GB"/>
        </w:rPr>
      </w:pPr>
      <w:r w:rsidRPr="003828BD">
        <w:rPr>
          <w:rFonts w:ascii="Arial" w:eastAsia="Calibri" w:hAnsi="Arial" w:cs="Arial"/>
          <w:sz w:val="20"/>
          <w:szCs w:val="20"/>
          <w:vertAlign w:val="superscript"/>
          <w:lang w:val="en-GB"/>
        </w:rPr>
        <w:t>9</w:t>
      </w:r>
      <w:r w:rsidRPr="003828BD">
        <w:rPr>
          <w:rFonts w:ascii="Arial" w:eastAsia="Calibri" w:hAnsi="Arial" w:cs="Arial"/>
          <w:sz w:val="20"/>
          <w:szCs w:val="20"/>
          <w:lang w:val="en-GB"/>
        </w:rPr>
        <w:t>Patrick G Johnston Centre for Cancer Research, Queen’s University, Belfast, N. Ireland</w:t>
      </w:r>
    </w:p>
    <w:p w14:paraId="4C2C2E2C" w14:textId="77777777" w:rsidR="003828BD" w:rsidRPr="003828BD" w:rsidRDefault="003828BD" w:rsidP="003828BD">
      <w:pPr>
        <w:jc w:val="both"/>
        <w:rPr>
          <w:rFonts w:ascii="Arial" w:eastAsia="Calibri" w:hAnsi="Arial" w:cs="Arial"/>
          <w:color w:val="000000"/>
          <w:sz w:val="20"/>
          <w:szCs w:val="20"/>
          <w:lang w:val="en-GB"/>
        </w:rPr>
      </w:pPr>
      <w:r w:rsidRPr="003828BD">
        <w:rPr>
          <w:rFonts w:ascii="Arial" w:eastAsia="Calibri" w:hAnsi="Arial" w:cs="Arial"/>
          <w:color w:val="000000"/>
          <w:sz w:val="20"/>
          <w:szCs w:val="20"/>
          <w:vertAlign w:val="superscript"/>
          <w:lang w:val="en-US"/>
        </w:rPr>
        <w:t>10</w:t>
      </w:r>
      <w:r w:rsidRPr="003828BD">
        <w:rPr>
          <w:rFonts w:ascii="Arial" w:eastAsia="Calibri" w:hAnsi="Arial" w:cs="Arial"/>
          <w:color w:val="000000"/>
          <w:sz w:val="20"/>
          <w:szCs w:val="20"/>
          <w:lang w:val="en-GB"/>
        </w:rPr>
        <w:t>Girona Biomedical Research Institute (IDIBGI), Girona, Spain</w:t>
      </w:r>
    </w:p>
    <w:p w14:paraId="55F42B0B" w14:textId="77777777" w:rsidR="003828BD" w:rsidRPr="003828BD" w:rsidRDefault="003828BD" w:rsidP="003828BD">
      <w:pPr>
        <w:jc w:val="both"/>
        <w:rPr>
          <w:rFonts w:ascii="Arial" w:eastAsia="Calibri" w:hAnsi="Arial" w:cs="Arial"/>
          <w:color w:val="000000"/>
          <w:sz w:val="20"/>
          <w:szCs w:val="20"/>
          <w:lang w:val="pt-BR"/>
        </w:rPr>
      </w:pPr>
      <w:r w:rsidRPr="003828BD">
        <w:rPr>
          <w:rFonts w:ascii="Arial" w:eastAsia="Calibri" w:hAnsi="Arial" w:cs="Arial"/>
          <w:color w:val="000000"/>
          <w:sz w:val="20"/>
          <w:szCs w:val="20"/>
          <w:vertAlign w:val="superscript"/>
          <w:lang w:val="pt-BR"/>
        </w:rPr>
        <w:t>11</w:t>
      </w:r>
      <w:r w:rsidRPr="003828BD">
        <w:rPr>
          <w:rFonts w:ascii="Arial" w:eastAsia="Calibri" w:hAnsi="Arial" w:cs="Arial"/>
          <w:color w:val="000000"/>
          <w:sz w:val="20"/>
          <w:szCs w:val="20"/>
          <w:lang w:val="pt-BR"/>
        </w:rPr>
        <w:t>CIBER Fisiopatología de la Obesidad y Nutrición (CIBEROBN), and Institute of Salud Carlos III (ISCIII), Madrid, Spain</w:t>
      </w:r>
    </w:p>
    <w:p w14:paraId="132435C4" w14:textId="77777777" w:rsidR="003828BD" w:rsidRPr="003828BD" w:rsidRDefault="003828BD" w:rsidP="003828BD">
      <w:pPr>
        <w:jc w:val="both"/>
        <w:rPr>
          <w:rFonts w:ascii="Arial" w:eastAsia="Calibri" w:hAnsi="Arial" w:cs="Arial"/>
          <w:sz w:val="20"/>
          <w:szCs w:val="20"/>
          <w:lang w:val="en-GB"/>
        </w:rPr>
      </w:pPr>
      <w:r w:rsidRPr="003828BD">
        <w:rPr>
          <w:rFonts w:ascii="Arial" w:eastAsia="Calibri" w:hAnsi="Arial" w:cs="Arial"/>
          <w:color w:val="000000"/>
          <w:sz w:val="20"/>
          <w:szCs w:val="20"/>
          <w:vertAlign w:val="superscript"/>
          <w:lang w:val="en-GB"/>
        </w:rPr>
        <w:t>12</w:t>
      </w:r>
      <w:r w:rsidRPr="003828BD">
        <w:rPr>
          <w:rFonts w:ascii="Arial" w:eastAsia="Calibri" w:hAnsi="Arial" w:cs="Arial"/>
          <w:sz w:val="20"/>
          <w:szCs w:val="20"/>
          <w:lang w:val="en-GB"/>
        </w:rPr>
        <w:t>Institute of Organic Chemistry and Biochemistry, Academy of Sciences of the Czech Republic, Prague, Czech Republic</w:t>
      </w:r>
    </w:p>
    <w:p w14:paraId="6F2F61D6" w14:textId="77777777" w:rsidR="003828BD" w:rsidRPr="003828BD" w:rsidRDefault="003828BD" w:rsidP="003828BD">
      <w:pPr>
        <w:jc w:val="both"/>
        <w:rPr>
          <w:rFonts w:ascii="Arial" w:eastAsia="Calibri" w:hAnsi="Arial" w:cs="Arial"/>
          <w:sz w:val="20"/>
          <w:szCs w:val="20"/>
          <w:shd w:val="clear" w:color="auto" w:fill="FFFFFF"/>
          <w:lang w:val="pt-BR"/>
        </w:rPr>
      </w:pPr>
      <w:r w:rsidRPr="003828BD">
        <w:rPr>
          <w:rFonts w:ascii="Arial" w:eastAsia="Calibri" w:hAnsi="Arial" w:cs="Arial"/>
          <w:sz w:val="20"/>
          <w:szCs w:val="20"/>
          <w:shd w:val="clear" w:color="auto" w:fill="FFFFFF"/>
          <w:vertAlign w:val="superscript"/>
          <w:lang w:val="pt-BR"/>
        </w:rPr>
        <w:t>13</w:t>
      </w:r>
      <w:r w:rsidRPr="003828BD">
        <w:rPr>
          <w:rFonts w:ascii="Arial" w:eastAsia="Calibri" w:hAnsi="Arial" w:cs="Arial"/>
          <w:sz w:val="20"/>
          <w:szCs w:val="20"/>
          <w:shd w:val="clear" w:color="auto" w:fill="FFFFFF"/>
          <w:lang w:val="pt-BR"/>
        </w:rPr>
        <w:t>Centro de Investigacíon Principe Felipe (CIPF), Valencia, Spain</w:t>
      </w:r>
    </w:p>
    <w:p w14:paraId="07C95372" w14:textId="77777777" w:rsidR="003828BD" w:rsidRPr="003828BD" w:rsidRDefault="003828BD" w:rsidP="003828BD">
      <w:pPr>
        <w:jc w:val="both"/>
        <w:rPr>
          <w:rFonts w:ascii="Arial" w:eastAsia="Calibri" w:hAnsi="Arial" w:cs="Arial"/>
          <w:sz w:val="20"/>
          <w:szCs w:val="20"/>
          <w:shd w:val="clear" w:color="auto" w:fill="FFFFFF"/>
          <w:lang w:val="en-US"/>
        </w:rPr>
      </w:pPr>
      <w:r w:rsidRPr="003828BD">
        <w:rPr>
          <w:rFonts w:ascii="Arial" w:eastAsia="Calibri" w:hAnsi="Arial" w:cs="Arial"/>
          <w:sz w:val="20"/>
          <w:szCs w:val="20"/>
          <w:shd w:val="clear" w:color="auto" w:fill="FFFFFF"/>
          <w:vertAlign w:val="superscript"/>
          <w:lang w:val="en-US"/>
        </w:rPr>
        <w:t>14</w:t>
      </w:r>
      <w:r w:rsidRPr="003828BD">
        <w:rPr>
          <w:rFonts w:ascii="Arial" w:eastAsia="Calibri" w:hAnsi="Arial" w:cs="Arial"/>
          <w:sz w:val="20"/>
          <w:szCs w:val="20"/>
          <w:shd w:val="clear" w:color="auto" w:fill="FFFFFF"/>
          <w:lang w:val="en-US"/>
        </w:rPr>
        <w:t>Metabolic Research Laboratories, Institute of Metabolic Science, Addenbrooke’s Hospital, University of Cambridge, UK</w:t>
      </w:r>
    </w:p>
    <w:p w14:paraId="5192E3E7" w14:textId="77777777" w:rsidR="003828BD" w:rsidRPr="003828BD" w:rsidRDefault="003828BD" w:rsidP="003828BD">
      <w:pPr>
        <w:jc w:val="both"/>
        <w:rPr>
          <w:rFonts w:ascii="Arial" w:eastAsia="Calibri" w:hAnsi="Arial" w:cs="Arial"/>
          <w:sz w:val="20"/>
          <w:szCs w:val="20"/>
          <w:lang w:val="pt-BR"/>
        </w:rPr>
      </w:pPr>
      <w:r w:rsidRPr="003828BD">
        <w:rPr>
          <w:rFonts w:ascii="Arial" w:eastAsia="Calibri" w:hAnsi="Arial" w:cs="Arial"/>
          <w:sz w:val="20"/>
          <w:szCs w:val="20"/>
          <w:vertAlign w:val="superscript"/>
          <w:lang w:val="pt-BR"/>
        </w:rPr>
        <w:t>15</w:t>
      </w:r>
      <w:r w:rsidRPr="003828BD">
        <w:rPr>
          <w:rFonts w:ascii="Arial" w:eastAsia="Calibri" w:hAnsi="Arial" w:cs="Arial"/>
          <w:sz w:val="20"/>
          <w:szCs w:val="20"/>
          <w:lang w:val="pt-BR"/>
        </w:rPr>
        <w:t>Instituto de Tecnologia Química da Universidade Nova de Lisboa (ITQB-Nova), Oeiras, Portugal</w:t>
      </w:r>
    </w:p>
    <w:p w14:paraId="0B3DE432" w14:textId="77777777" w:rsidR="003828BD" w:rsidRPr="003828BD" w:rsidRDefault="003828BD" w:rsidP="003828BD">
      <w:pPr>
        <w:jc w:val="both"/>
        <w:rPr>
          <w:rFonts w:ascii="Arial" w:eastAsia="Calibri" w:hAnsi="Arial" w:cs="Arial"/>
          <w:color w:val="000000"/>
          <w:sz w:val="20"/>
          <w:szCs w:val="20"/>
          <w:lang w:val="en-GB"/>
        </w:rPr>
      </w:pPr>
      <w:r w:rsidRPr="003828BD">
        <w:rPr>
          <w:rFonts w:ascii="Arial" w:eastAsia="Calibri" w:hAnsi="Arial" w:cs="Arial"/>
          <w:color w:val="000000"/>
          <w:sz w:val="20"/>
          <w:szCs w:val="20"/>
          <w:vertAlign w:val="superscript"/>
          <w:lang w:val="en-GB"/>
        </w:rPr>
        <w:t>16</w:t>
      </w:r>
      <w:r w:rsidRPr="003828BD">
        <w:rPr>
          <w:rFonts w:ascii="Arial" w:eastAsia="Calibri" w:hAnsi="Arial" w:cs="Arial"/>
          <w:color w:val="000000"/>
          <w:sz w:val="20"/>
          <w:szCs w:val="20"/>
          <w:lang w:val="en-GB"/>
        </w:rPr>
        <w:t>Obesity Lab, Department of Physiology, Anatomy and Genetics, University of Oxford, UK</w:t>
      </w:r>
    </w:p>
    <w:p w14:paraId="60680C62" w14:textId="77777777" w:rsidR="003828BD" w:rsidRPr="003828BD" w:rsidRDefault="003828BD" w:rsidP="003828BD">
      <w:pPr>
        <w:rPr>
          <w:rFonts w:ascii="Arial" w:eastAsia="Calibri" w:hAnsi="Arial" w:cs="Arial"/>
          <w:color w:val="000000"/>
          <w:sz w:val="20"/>
          <w:szCs w:val="20"/>
          <w:lang w:val="en-GB"/>
        </w:rPr>
      </w:pPr>
    </w:p>
    <w:p w14:paraId="12AFEA9D" w14:textId="77777777" w:rsidR="003828BD" w:rsidRPr="003828BD" w:rsidRDefault="003828BD" w:rsidP="003828BD">
      <w:pPr>
        <w:jc w:val="both"/>
        <w:rPr>
          <w:rFonts w:ascii="Arial" w:eastAsia="Calibri" w:hAnsi="Arial" w:cs="Arial"/>
          <w:lang w:val="en-GB"/>
        </w:rPr>
      </w:pPr>
      <w:r w:rsidRPr="003828BD">
        <w:rPr>
          <w:rFonts w:ascii="Arial" w:eastAsia="Calibri" w:hAnsi="Arial" w:cs="Arial"/>
          <w:b/>
          <w:bCs/>
          <w:lang w:val="en-GB"/>
        </w:rPr>
        <w:t>Objectives:</w:t>
      </w:r>
      <w:r w:rsidRPr="003828BD">
        <w:rPr>
          <w:rFonts w:ascii="Arial" w:eastAsia="Calibri" w:hAnsi="Arial" w:cs="Arial"/>
          <w:lang w:val="en-GB"/>
        </w:rPr>
        <w:t xml:space="preserve"> The metalloprotease ADAM17 (also called TACE) plays fundamental roles during development, and to promote homeostasis and multiple inflammatory diseases and cancer by shedding key signaling molecules from the cell surface. Its importance in inflammation and growth control is well documented, while little is known about the role of ADAM17 and its regulator iRhom2 in metabolic homeostasis.</w:t>
      </w:r>
      <w:r w:rsidRPr="003828BD">
        <w:rPr>
          <w:rFonts w:ascii="Arial" w:eastAsia="Calibri" w:hAnsi="Arial" w:cs="Arial"/>
          <w:color w:val="000000"/>
          <w:sz w:val="20"/>
          <w:szCs w:val="20"/>
          <w:lang w:val="en-GB"/>
        </w:rPr>
        <w:t xml:space="preserve"> </w:t>
      </w:r>
      <w:r w:rsidRPr="003828BD">
        <w:rPr>
          <w:rFonts w:ascii="Arial" w:eastAsia="Calibri" w:hAnsi="Arial" w:cs="Arial"/>
          <w:lang w:val="en-GB"/>
        </w:rPr>
        <w:t>The purpose of this study was to determine the impact of the sheddase ADAM17/TACE and of its modulator iRhom2 in the pathophysiology of obesity and in adipocyte homeostasis.</w:t>
      </w:r>
    </w:p>
    <w:p w14:paraId="01C848CE" w14:textId="77777777" w:rsidR="003828BD" w:rsidRPr="003828BD" w:rsidRDefault="003828BD" w:rsidP="003828BD">
      <w:pPr>
        <w:jc w:val="both"/>
        <w:rPr>
          <w:rFonts w:ascii="Arial" w:eastAsia="Calibri" w:hAnsi="Arial" w:cs="Arial"/>
          <w:lang w:val="en-GB"/>
        </w:rPr>
      </w:pPr>
      <w:r w:rsidRPr="003828BD">
        <w:rPr>
          <w:rFonts w:ascii="Arial" w:eastAsia="Calibri" w:hAnsi="Arial" w:cs="Arial"/>
          <w:b/>
          <w:bCs/>
          <w:lang w:val="en-GB"/>
        </w:rPr>
        <w:t>Materials and Methods:</w:t>
      </w:r>
      <w:r w:rsidRPr="003828BD">
        <w:rPr>
          <w:rFonts w:ascii="Arial" w:eastAsia="Calibri" w:hAnsi="Arial" w:cs="Arial"/>
          <w:lang w:val="en-GB"/>
        </w:rPr>
        <w:t xml:space="preserve"> </w:t>
      </w:r>
      <w:r w:rsidRPr="003828BD">
        <w:rPr>
          <w:rFonts w:ascii="Arial" w:eastAsia="Calibri" w:hAnsi="Arial" w:cs="Arial"/>
          <w:color w:val="000000"/>
          <w:lang w:val="en-GB"/>
        </w:rPr>
        <w:t>We challenged controls versus iRhom2 global KO or adipocyte specific ADAM17 KO mice to positive energy balance by chronic exposure to a high fat diet, and then compared their metabolic phenotypes. We also carried out ex vivo assays with primary and immortalized mouse brown and beige adipocytes to establish the autonomy of the effect of loss of iRhom2 and ADAM17 on differentiation, thermogenesis and respiration. In addition, we used proteomic and transcriptomic analyses to identify and characterize a novel ADAM17 substrate involved.</w:t>
      </w:r>
    </w:p>
    <w:p w14:paraId="7B9DAA0D" w14:textId="77777777" w:rsidR="003828BD" w:rsidRPr="003828BD" w:rsidRDefault="003828BD" w:rsidP="003828BD">
      <w:pPr>
        <w:jc w:val="both"/>
        <w:rPr>
          <w:rFonts w:ascii="Arial" w:eastAsia="Calibri" w:hAnsi="Arial" w:cs="Arial"/>
          <w:lang w:val="en-GB"/>
        </w:rPr>
      </w:pPr>
      <w:r w:rsidRPr="003828BD">
        <w:rPr>
          <w:rFonts w:ascii="Arial" w:eastAsia="Calibri" w:hAnsi="Arial" w:cs="Arial"/>
          <w:b/>
          <w:bCs/>
          <w:lang w:val="en-GB"/>
        </w:rPr>
        <w:lastRenderedPageBreak/>
        <w:t>Results:</w:t>
      </w:r>
      <w:r w:rsidRPr="003828BD">
        <w:rPr>
          <w:rFonts w:ascii="Arial" w:eastAsia="Calibri" w:hAnsi="Arial" w:cs="Arial"/>
          <w:lang w:val="en-GB"/>
        </w:rPr>
        <w:t xml:space="preserve"> iRhom2 global KO and adipocyte-specific ADAM17</w:t>
      </w:r>
      <w:r w:rsidRPr="003828BD">
        <w:rPr>
          <w:rFonts w:ascii="Arial" w:eastAsia="Calibri" w:hAnsi="Arial" w:cs="Arial"/>
          <w:vertAlign w:val="superscript"/>
          <w:lang w:val="en-GB"/>
        </w:rPr>
        <w:t xml:space="preserve"> </w:t>
      </w:r>
      <w:r w:rsidRPr="003828BD">
        <w:rPr>
          <w:rFonts w:ascii="Arial" w:eastAsia="Calibri" w:hAnsi="Arial" w:cs="Arial"/>
          <w:lang w:val="en-GB"/>
        </w:rPr>
        <w:t xml:space="preserve">KO mice exhibited a hypermetabolic phenotype characterized by elevated energy consumption and increased levels of adipocyte thermogenic gene expression and browning. This protected mutant mice from obesogenic challenge, limiting weight gain, hepatosteatosis and insulin resistance. Proteomic studies identified Semaphorin 4B (SEMA4B), as a novel ADAM17-shed adipokine, whose expression is regulated by physiological thermogenic cues, that acts to inhibit </w:t>
      </w:r>
      <w:r w:rsidRPr="003828BD">
        <w:rPr>
          <w:rFonts w:ascii="Arial" w:eastAsia="Calibri" w:hAnsi="Arial" w:cs="Arial"/>
          <w:color w:val="000000"/>
          <w:lang w:val="en-GB"/>
        </w:rPr>
        <w:t xml:space="preserve">adipocyte differentiation and </w:t>
      </w:r>
      <w:r w:rsidRPr="003828BD">
        <w:rPr>
          <w:rFonts w:ascii="Arial" w:eastAsia="Calibri" w:hAnsi="Arial" w:cs="Arial"/>
          <w:lang w:val="en-GB"/>
        </w:rPr>
        <w:t xml:space="preserve">dampen thermogenic responses in adipocytes. </w:t>
      </w:r>
    </w:p>
    <w:p w14:paraId="6A919CCC" w14:textId="77777777" w:rsidR="003828BD" w:rsidRPr="003828BD" w:rsidRDefault="003828BD" w:rsidP="003828BD">
      <w:pPr>
        <w:jc w:val="both"/>
        <w:rPr>
          <w:rFonts w:ascii="Arial" w:eastAsia="Calibri" w:hAnsi="Arial" w:cs="Arial"/>
          <w:strike/>
          <w:lang w:val="en-GB"/>
        </w:rPr>
      </w:pPr>
      <w:r w:rsidRPr="003828BD">
        <w:rPr>
          <w:rFonts w:ascii="Arial" w:eastAsia="Calibri" w:hAnsi="Arial" w:cs="Arial"/>
          <w:b/>
          <w:bCs/>
          <w:lang w:val="en-GB"/>
        </w:rPr>
        <w:t>Conclusion:</w:t>
      </w:r>
      <w:r w:rsidRPr="003828BD">
        <w:rPr>
          <w:rFonts w:ascii="Arial" w:eastAsia="Calibri" w:hAnsi="Arial" w:cs="Arial"/>
          <w:lang w:val="en-GB"/>
        </w:rPr>
        <w:t xml:space="preserve"> Our findings identify a novel iRhom2/ADAM17-dependent axis, regulated by beta-adrenoceptors and mediated by the ADAM17-cleaved form of SEMA4B, that </w:t>
      </w:r>
      <w:r w:rsidRPr="003828BD">
        <w:rPr>
          <w:rFonts w:ascii="Arial" w:eastAsia="Calibri" w:hAnsi="Arial" w:cs="Arial"/>
          <w:color w:val="000000"/>
          <w:lang w:val="en-GB"/>
        </w:rPr>
        <w:t xml:space="preserve">modulates energy balance in adipocytes by inhibiting adipocyte differentiation, thermogenesis and lipid catabolism. </w:t>
      </w:r>
    </w:p>
    <w:p w14:paraId="6F393A6A" w14:textId="77777777" w:rsidR="003828BD" w:rsidRPr="003828BD" w:rsidRDefault="003828BD" w:rsidP="003828BD">
      <w:pPr>
        <w:spacing w:before="240" w:after="240"/>
        <w:jc w:val="both"/>
        <w:rPr>
          <w:rFonts w:ascii="Arial" w:eastAsia="Calibri" w:hAnsi="Arial" w:cs="Arial"/>
          <w:lang w:val="en-GB"/>
        </w:rPr>
      </w:pPr>
      <w:r w:rsidRPr="003828BD">
        <w:rPr>
          <w:rFonts w:ascii="Arial" w:eastAsia="Calibri" w:hAnsi="Arial" w:cs="Arial"/>
          <w:b/>
          <w:bCs/>
          <w:lang w:val="en-GB"/>
        </w:rPr>
        <w:t>Keywords</w:t>
      </w:r>
      <w:r w:rsidRPr="003828BD">
        <w:rPr>
          <w:rFonts w:ascii="Arial" w:eastAsia="Calibri" w:hAnsi="Arial" w:cs="Arial"/>
          <w:b/>
          <w:lang w:val="en-GB"/>
        </w:rPr>
        <w:t xml:space="preserve">: </w:t>
      </w:r>
      <w:r w:rsidRPr="003828BD">
        <w:rPr>
          <w:rFonts w:ascii="Arial" w:eastAsia="Calibri" w:hAnsi="Arial" w:cs="Arial"/>
          <w:bCs/>
          <w:lang w:val="en-GB"/>
        </w:rPr>
        <w:t>iRhom2,</w:t>
      </w:r>
      <w:r w:rsidRPr="003828BD">
        <w:rPr>
          <w:rFonts w:ascii="Arial" w:eastAsia="Calibri" w:hAnsi="Arial" w:cs="Arial"/>
          <w:b/>
          <w:lang w:val="en-GB"/>
        </w:rPr>
        <w:t xml:space="preserve"> </w:t>
      </w:r>
      <w:r w:rsidRPr="003828BD">
        <w:rPr>
          <w:rFonts w:ascii="Arial" w:eastAsia="Calibri" w:hAnsi="Arial" w:cs="Arial"/>
          <w:lang w:val="en-GB"/>
        </w:rPr>
        <w:t>ADAM17/TACE; Semaphorin4B; Thermogenesis; Obesity.</w:t>
      </w:r>
    </w:p>
    <w:p w14:paraId="68BCC660" w14:textId="006DE790" w:rsidR="002F52BB" w:rsidRPr="003828BD" w:rsidRDefault="002F52BB" w:rsidP="003828BD"/>
    <w:sectPr w:rsidR="002F52BB" w:rsidRPr="003828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067E33"/>
    <w:rsid w:val="00210E5F"/>
    <w:rsid w:val="002F52BB"/>
    <w:rsid w:val="0034768C"/>
    <w:rsid w:val="003828BD"/>
    <w:rsid w:val="0042718A"/>
    <w:rsid w:val="004C7FB0"/>
    <w:rsid w:val="00552305"/>
    <w:rsid w:val="005602EF"/>
    <w:rsid w:val="00686BEE"/>
    <w:rsid w:val="007B46CC"/>
    <w:rsid w:val="00902F30"/>
    <w:rsid w:val="00B9425A"/>
    <w:rsid w:val="00C20DD4"/>
    <w:rsid w:val="00C37CCE"/>
    <w:rsid w:val="00D11191"/>
    <w:rsid w:val="00D15287"/>
    <w:rsid w:val="00D7051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686B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686BEE"/>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42718A"/>
    <w:pPr>
      <w:spacing w:after="0" w:line="240" w:lineRule="auto"/>
    </w:pPr>
    <w:rPr>
      <w:lang w:val="pt-BR"/>
    </w:rPr>
  </w:style>
  <w:style w:type="paragraph" w:customStyle="1" w:styleId="MDPI17abstract">
    <w:name w:val="MDPI_1.7_abstract"/>
    <w:next w:val="Normal"/>
    <w:qFormat/>
    <w:rsid w:val="004C7FB0"/>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2024-01-11T17:10:00Z</dcterms:created>
  <dcterms:modified xsi:type="dcterms:W3CDTF">2024-01-11T17:10:00Z</dcterms:modified>
</cp:coreProperties>
</file>