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9310" w14:textId="77777777" w:rsidR="00EC1184" w:rsidRPr="00EC1184" w:rsidRDefault="00EC1184" w:rsidP="00EC1184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74"/>
      <w:r w:rsidRPr="00EC1184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Avaliação de ensaios de diagnóstico molecular para a deteção de </w:t>
      </w:r>
      <w:r w:rsidRPr="00EC1184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Campylobacter fetus</w:t>
      </w:r>
      <w:r w:rsidRPr="00EC1184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subsp. </w:t>
      </w:r>
      <w:r w:rsidRPr="00EC1184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venerealis</w:t>
      </w:r>
      <w:r w:rsidRPr="00EC1184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em amostras prepuciais bovinas</w:t>
      </w:r>
      <w:bookmarkEnd w:id="0"/>
    </w:p>
    <w:p w14:paraId="52FA9A4A" w14:textId="77777777" w:rsidR="00EC1184" w:rsidRPr="00EC1184" w:rsidRDefault="00EC1184" w:rsidP="00EC1184">
      <w:pPr>
        <w:rPr>
          <w:rFonts w:ascii="Calibri" w:eastAsia="Calibri" w:hAnsi="Calibri" w:cs="Times New Roman"/>
        </w:rPr>
      </w:pPr>
    </w:p>
    <w:p w14:paraId="72FDDBAD" w14:textId="77777777" w:rsidR="00EC1184" w:rsidRPr="00EC1184" w:rsidRDefault="00EC1184" w:rsidP="00EC1184">
      <w:pPr>
        <w:jc w:val="center"/>
        <w:rPr>
          <w:rFonts w:ascii="Arial" w:eastAsia="Calibri" w:hAnsi="Arial" w:cs="Arial"/>
          <w:vertAlign w:val="superscript"/>
        </w:rPr>
      </w:pPr>
      <w:r w:rsidRPr="00EC1184">
        <w:rPr>
          <w:rFonts w:ascii="Arial" w:eastAsia="Calibri" w:hAnsi="Arial" w:cs="Arial"/>
          <w:u w:val="single"/>
        </w:rPr>
        <w:t>Marta F. Silva</w:t>
      </w:r>
      <w:r w:rsidRPr="00EC1184">
        <w:rPr>
          <w:rFonts w:ascii="Arial" w:eastAsia="Calibri" w:hAnsi="Arial" w:cs="Arial"/>
          <w:vertAlign w:val="superscript"/>
        </w:rPr>
        <w:t>1,2</w:t>
      </w:r>
      <w:r w:rsidRPr="00EC1184">
        <w:rPr>
          <w:rFonts w:ascii="Arial" w:eastAsia="Calibri" w:hAnsi="Arial" w:cs="Arial"/>
        </w:rPr>
        <w:t>, Ana Duarte</w:t>
      </w:r>
      <w:r w:rsidRPr="00EC1184">
        <w:rPr>
          <w:rFonts w:ascii="Arial" w:eastAsia="Calibri" w:hAnsi="Arial" w:cs="Arial"/>
          <w:vertAlign w:val="superscript"/>
        </w:rPr>
        <w:t>2</w:t>
      </w:r>
      <w:r w:rsidRPr="00EC1184">
        <w:rPr>
          <w:rFonts w:ascii="Arial" w:eastAsia="Calibri" w:hAnsi="Arial" w:cs="Arial"/>
        </w:rPr>
        <w:t>, Gonçalo Pereira</w:t>
      </w:r>
      <w:r w:rsidRPr="00EC1184">
        <w:rPr>
          <w:rFonts w:ascii="Arial" w:eastAsia="Calibri" w:hAnsi="Arial" w:cs="Arial"/>
          <w:vertAlign w:val="superscript"/>
        </w:rPr>
        <w:t>2</w:t>
      </w:r>
      <w:r w:rsidRPr="00EC1184">
        <w:rPr>
          <w:rFonts w:ascii="Arial" w:eastAsia="Calibri" w:hAnsi="Arial" w:cs="Arial"/>
        </w:rPr>
        <w:t>, Luísa Mateus</w:t>
      </w:r>
      <w:r w:rsidRPr="00EC1184">
        <w:rPr>
          <w:rFonts w:ascii="Arial" w:eastAsia="Calibri" w:hAnsi="Arial" w:cs="Arial"/>
          <w:vertAlign w:val="superscript"/>
        </w:rPr>
        <w:t>2</w:t>
      </w:r>
      <w:r w:rsidRPr="00EC1184">
        <w:rPr>
          <w:rFonts w:ascii="Arial" w:eastAsia="Calibri" w:hAnsi="Arial" w:cs="Arial"/>
        </w:rPr>
        <w:t>, Luís Lopes da Costa</w:t>
      </w:r>
      <w:r w:rsidRPr="00EC1184">
        <w:rPr>
          <w:rFonts w:ascii="Arial" w:eastAsia="Calibri" w:hAnsi="Arial" w:cs="Arial"/>
          <w:vertAlign w:val="superscript"/>
        </w:rPr>
        <w:t>2</w:t>
      </w:r>
      <w:r w:rsidRPr="00EC1184">
        <w:rPr>
          <w:rFonts w:ascii="Arial" w:eastAsia="Calibri" w:hAnsi="Arial" w:cs="Arial"/>
        </w:rPr>
        <w:t>, Elisabete Silva</w:t>
      </w:r>
      <w:r w:rsidRPr="00EC1184">
        <w:rPr>
          <w:rFonts w:ascii="Arial" w:eastAsia="Calibri" w:hAnsi="Arial" w:cs="Arial"/>
          <w:vertAlign w:val="superscript"/>
        </w:rPr>
        <w:t>2</w:t>
      </w:r>
    </w:p>
    <w:p w14:paraId="0FE1710A" w14:textId="77777777" w:rsidR="00EC1184" w:rsidRPr="00EC1184" w:rsidRDefault="00EC1184" w:rsidP="00EC1184">
      <w:pPr>
        <w:jc w:val="center"/>
        <w:rPr>
          <w:rFonts w:ascii="Arial" w:eastAsia="Calibri" w:hAnsi="Arial" w:cs="Arial"/>
        </w:rPr>
      </w:pPr>
    </w:p>
    <w:p w14:paraId="56BA4368" w14:textId="77777777" w:rsidR="00EC1184" w:rsidRPr="00EC1184" w:rsidRDefault="00EC1184" w:rsidP="00EC1184">
      <w:pPr>
        <w:rPr>
          <w:rFonts w:ascii="Arial 10" w:eastAsia="Calibri" w:hAnsi="Arial 10" w:cs="Times New Roman"/>
          <w:sz w:val="20"/>
          <w:szCs w:val="20"/>
        </w:rPr>
      </w:pPr>
      <w:r w:rsidRPr="00EC1184">
        <w:rPr>
          <w:rFonts w:ascii="Arial 10" w:eastAsia="Calibri" w:hAnsi="Arial 10" w:cs="Times New Roman"/>
          <w:sz w:val="20"/>
          <w:szCs w:val="20"/>
          <w:vertAlign w:val="superscript"/>
        </w:rPr>
        <w:t>1</w:t>
      </w:r>
      <w:r w:rsidRPr="00EC1184">
        <w:rPr>
          <w:rFonts w:ascii="Arial 10" w:eastAsia="Calibri" w:hAnsi="Arial 10" w:cs="Times New Roman"/>
          <w:sz w:val="20"/>
          <w:szCs w:val="20"/>
        </w:rPr>
        <w:t>Faculdade de Medicina Veterinária, Universidade Lusófona, Lisboa, Portugal</w:t>
      </w:r>
    </w:p>
    <w:p w14:paraId="42B8BE27" w14:textId="77777777" w:rsidR="00EC1184" w:rsidRPr="00EC1184" w:rsidRDefault="00EC1184" w:rsidP="00EC1184">
      <w:pPr>
        <w:rPr>
          <w:rFonts w:ascii="Arial 10" w:eastAsia="Calibri" w:hAnsi="Arial 10" w:cs="Times New Roman"/>
          <w:sz w:val="20"/>
          <w:szCs w:val="20"/>
        </w:rPr>
      </w:pPr>
      <w:r w:rsidRPr="00EC1184">
        <w:rPr>
          <w:rFonts w:ascii="Arial 10" w:eastAsia="Calibri" w:hAnsi="Arial 10" w:cs="Times New Roman"/>
          <w:sz w:val="20"/>
          <w:szCs w:val="20"/>
          <w:vertAlign w:val="superscript"/>
        </w:rPr>
        <w:t>2</w:t>
      </w:r>
      <w:r w:rsidRPr="00EC1184">
        <w:rPr>
          <w:rFonts w:ascii="Arial 10" w:eastAsia="Calibri" w:hAnsi="Arial 10" w:cs="Times New Roman"/>
          <w:sz w:val="20"/>
          <w:szCs w:val="20"/>
        </w:rPr>
        <w:t>CIISA - Centro de Investigação Interdisciplinar em Sanidade Animal, Faculdade de Medicina Veterinária, Universidade de Lisboa, Lisboa, Portugal</w:t>
      </w:r>
    </w:p>
    <w:p w14:paraId="4463C20C" w14:textId="77777777" w:rsidR="00EC1184" w:rsidRPr="00EC1184" w:rsidRDefault="00EC1184" w:rsidP="00EC1184">
      <w:pPr>
        <w:rPr>
          <w:rFonts w:ascii="Arial 10" w:eastAsia="Calibri" w:hAnsi="Arial 10" w:cs="Times New Roman"/>
        </w:rPr>
      </w:pPr>
    </w:p>
    <w:p w14:paraId="42182512" w14:textId="77777777" w:rsidR="00EC1184" w:rsidRPr="00EC1184" w:rsidRDefault="00EC1184" w:rsidP="00EC1184">
      <w:pPr>
        <w:jc w:val="both"/>
        <w:rPr>
          <w:rFonts w:ascii="Arial" w:eastAsia="Calibri" w:hAnsi="Arial" w:cs="Arial"/>
        </w:rPr>
      </w:pPr>
      <w:r w:rsidRPr="00EC1184">
        <w:rPr>
          <w:rFonts w:ascii="Arial" w:eastAsia="Calibri" w:hAnsi="Arial" w:cs="Arial"/>
          <w:b/>
          <w:bCs/>
        </w:rPr>
        <w:t>Objectivos:</w:t>
      </w:r>
      <w:r w:rsidRPr="00EC1184">
        <w:rPr>
          <w:rFonts w:ascii="Arial" w:eastAsia="Calibri" w:hAnsi="Arial" w:cs="Arial"/>
        </w:rPr>
        <w:t xml:space="preserve"> Este estudo teve como objetivo comparar ensaios de PCR em tempo real para deteção de </w:t>
      </w:r>
      <w:r w:rsidRPr="00EC1184">
        <w:rPr>
          <w:rFonts w:ascii="Arial" w:eastAsia="Calibri" w:hAnsi="Arial" w:cs="Arial"/>
          <w:i/>
          <w:iCs/>
        </w:rPr>
        <w:t>C. fetus</w:t>
      </w:r>
      <w:r w:rsidRPr="00EC1184">
        <w:rPr>
          <w:rFonts w:ascii="Arial" w:eastAsia="Calibri" w:hAnsi="Arial" w:cs="Arial"/>
        </w:rPr>
        <w:t xml:space="preserve"> subsp. </w:t>
      </w:r>
      <w:r w:rsidRPr="00EC1184">
        <w:rPr>
          <w:rFonts w:ascii="Arial" w:eastAsia="Calibri" w:hAnsi="Arial" w:cs="Arial"/>
          <w:i/>
          <w:iCs/>
        </w:rPr>
        <w:t>venerealis</w:t>
      </w:r>
      <w:r w:rsidRPr="00EC1184">
        <w:rPr>
          <w:rFonts w:ascii="Arial" w:eastAsia="Calibri" w:hAnsi="Arial" w:cs="Arial"/>
        </w:rPr>
        <w:t>, o agente patogénico responsável pela campilobacteriose genital bovina, em 308 amostras prepuciais.</w:t>
      </w:r>
    </w:p>
    <w:p w14:paraId="3352EDCB" w14:textId="77777777" w:rsidR="00EC1184" w:rsidRPr="00EC1184" w:rsidRDefault="00EC1184" w:rsidP="00EC1184">
      <w:pPr>
        <w:jc w:val="both"/>
        <w:rPr>
          <w:rFonts w:ascii="Arial" w:eastAsia="Calibri" w:hAnsi="Arial" w:cs="Arial"/>
        </w:rPr>
      </w:pPr>
      <w:r w:rsidRPr="00EC1184">
        <w:rPr>
          <w:rFonts w:ascii="Arial" w:eastAsia="Calibri" w:hAnsi="Arial" w:cs="Arial"/>
          <w:b/>
          <w:bCs/>
        </w:rPr>
        <w:t>Materiais e métodos:</w:t>
      </w:r>
      <w:r w:rsidRPr="00EC1184">
        <w:rPr>
          <w:rFonts w:ascii="Arial" w:eastAsia="Calibri" w:hAnsi="Arial" w:cs="Arial"/>
        </w:rPr>
        <w:t xml:space="preserve"> A deteção ao nível da subespécie (</w:t>
      </w:r>
      <w:r w:rsidRPr="00EC1184">
        <w:rPr>
          <w:rFonts w:ascii="Arial" w:eastAsia="Calibri" w:hAnsi="Arial" w:cs="Arial"/>
          <w:i/>
          <w:iCs/>
        </w:rPr>
        <w:t>C. fetus</w:t>
      </w:r>
      <w:r w:rsidRPr="00EC1184">
        <w:rPr>
          <w:rFonts w:ascii="Arial" w:eastAsia="Calibri" w:hAnsi="Arial" w:cs="Arial"/>
        </w:rPr>
        <w:t xml:space="preserve"> subsp. </w:t>
      </w:r>
      <w:r w:rsidRPr="00EC1184">
        <w:rPr>
          <w:rFonts w:ascii="Arial" w:eastAsia="Calibri" w:hAnsi="Arial" w:cs="Arial"/>
          <w:i/>
          <w:iCs/>
        </w:rPr>
        <w:t>venerealis</w:t>
      </w:r>
      <w:r w:rsidRPr="00EC1184">
        <w:rPr>
          <w:rFonts w:ascii="Arial" w:eastAsia="Calibri" w:hAnsi="Arial" w:cs="Arial"/>
        </w:rPr>
        <w:t xml:space="preserve">) foi avaliada em quatro ensaios de PCR em tempo real, dois direcionados para a sequência de inserção ISCfe1 e dois para o gene </w:t>
      </w:r>
      <w:r w:rsidRPr="00EC1184">
        <w:rPr>
          <w:rFonts w:ascii="Arial" w:eastAsia="Calibri" w:hAnsi="Arial" w:cs="Arial"/>
          <w:i/>
          <w:iCs/>
        </w:rPr>
        <w:t>parA</w:t>
      </w:r>
      <w:r w:rsidRPr="00EC1184">
        <w:rPr>
          <w:rFonts w:ascii="Arial" w:eastAsia="Calibri" w:hAnsi="Arial" w:cs="Arial"/>
        </w:rPr>
        <w:t>. A deteção ao nível da espécie (</w:t>
      </w:r>
      <w:r w:rsidRPr="00EC1184">
        <w:rPr>
          <w:rFonts w:ascii="Arial" w:eastAsia="Calibri" w:hAnsi="Arial" w:cs="Arial"/>
          <w:i/>
          <w:iCs/>
        </w:rPr>
        <w:t>C. fetus</w:t>
      </w:r>
      <w:r w:rsidRPr="00EC1184">
        <w:rPr>
          <w:rFonts w:ascii="Arial" w:eastAsia="Calibri" w:hAnsi="Arial" w:cs="Arial"/>
        </w:rPr>
        <w:t xml:space="preserve">) envolveu um ensaio direcionado para o gene </w:t>
      </w:r>
      <w:r w:rsidRPr="00EC1184">
        <w:rPr>
          <w:rFonts w:ascii="Arial" w:eastAsia="Calibri" w:hAnsi="Arial" w:cs="Arial"/>
          <w:i/>
          <w:iCs/>
        </w:rPr>
        <w:t>nahE</w:t>
      </w:r>
      <w:r w:rsidRPr="00EC1184">
        <w:rPr>
          <w:rFonts w:ascii="Arial" w:eastAsia="Calibri" w:hAnsi="Arial" w:cs="Arial"/>
        </w:rPr>
        <w:t xml:space="preserve"> e um kit comercial de PCR em tempo real (LSI VetMAX</w:t>
      </w:r>
      <w:r w:rsidRPr="00EC1184">
        <w:rPr>
          <w:rFonts w:ascii="Arial" w:eastAsia="Calibri" w:hAnsi="Arial" w:cs="Arial"/>
          <w:vertAlign w:val="superscript"/>
        </w:rPr>
        <w:t>TM</w:t>
      </w:r>
      <w:r w:rsidRPr="00EC1184">
        <w:rPr>
          <w:rFonts w:ascii="Arial" w:eastAsia="Calibri" w:hAnsi="Arial" w:cs="Arial"/>
        </w:rPr>
        <w:t xml:space="preserve"> C. fetus kit, Life Technologies).</w:t>
      </w:r>
    </w:p>
    <w:p w14:paraId="0F795ED0" w14:textId="77777777" w:rsidR="00EC1184" w:rsidRPr="00EC1184" w:rsidRDefault="00EC1184" w:rsidP="00EC1184">
      <w:pPr>
        <w:jc w:val="both"/>
        <w:rPr>
          <w:rFonts w:ascii="Arial" w:eastAsia="Calibri" w:hAnsi="Arial" w:cs="Arial"/>
        </w:rPr>
      </w:pPr>
      <w:r w:rsidRPr="00EC1184">
        <w:rPr>
          <w:rFonts w:ascii="Arial" w:eastAsia="Calibri" w:hAnsi="Arial" w:cs="Arial"/>
          <w:b/>
          <w:bCs/>
        </w:rPr>
        <w:t>Resultados:</w:t>
      </w:r>
      <w:r w:rsidRPr="00EC1184">
        <w:rPr>
          <w:rFonts w:ascii="Arial" w:eastAsia="Calibri" w:hAnsi="Arial" w:cs="Arial"/>
        </w:rPr>
        <w:t xml:space="preserve"> Na deteção ao nível da subespécie, os ensaios direcionados quer para diferentes alvos (</w:t>
      </w:r>
      <w:r w:rsidRPr="00EC1184">
        <w:rPr>
          <w:rFonts w:ascii="Arial" w:eastAsia="Calibri" w:hAnsi="Arial" w:cs="Arial"/>
          <w:i/>
          <w:iCs/>
        </w:rPr>
        <w:t>parA</w:t>
      </w:r>
      <w:r w:rsidRPr="00EC1184">
        <w:rPr>
          <w:rFonts w:ascii="Arial" w:eastAsia="Calibri" w:hAnsi="Arial" w:cs="Arial"/>
        </w:rPr>
        <w:t xml:space="preserve"> e ISCfe1), quer para o mesmo alvo molecular mostraram uma elevada percentagem de resultados discordantes nas amostras analisadas. Por outro lado, todas as amostras positivas nestes ensaios (n=169) revelaram-se negativas nos ensaios de deteção de </w:t>
      </w:r>
      <w:r w:rsidRPr="00EC1184">
        <w:rPr>
          <w:rFonts w:ascii="Arial" w:eastAsia="Calibri" w:hAnsi="Arial" w:cs="Arial"/>
          <w:i/>
          <w:iCs/>
        </w:rPr>
        <w:t>C. fetus</w:t>
      </w:r>
      <w:r w:rsidRPr="00EC1184">
        <w:rPr>
          <w:rFonts w:ascii="Arial" w:eastAsia="Calibri" w:hAnsi="Arial" w:cs="Arial"/>
        </w:rPr>
        <w:t xml:space="preserve">, o que sugere a transferência horizontal destes alvos de subespécie para outras espécies bacterianas. A análise da discrepância entre os resultados obtidos na deteção dos alvos de espécie e subespécie levou à descoberta de uma nova espécie do género </w:t>
      </w:r>
      <w:r w:rsidRPr="00EC1184">
        <w:rPr>
          <w:rFonts w:ascii="Arial" w:eastAsia="Calibri" w:hAnsi="Arial" w:cs="Arial"/>
          <w:i/>
          <w:iCs/>
        </w:rPr>
        <w:t>Campylobacter</w:t>
      </w:r>
      <w:r w:rsidRPr="00EC1184">
        <w:rPr>
          <w:rFonts w:ascii="Arial" w:eastAsia="Calibri" w:hAnsi="Arial" w:cs="Arial"/>
        </w:rPr>
        <w:t xml:space="preserve"> no prepúcio de touros, denominada de </w:t>
      </w:r>
      <w:r w:rsidRPr="00EC1184">
        <w:rPr>
          <w:rFonts w:ascii="Arial" w:eastAsia="Calibri" w:hAnsi="Arial" w:cs="Arial"/>
          <w:i/>
          <w:iCs/>
        </w:rPr>
        <w:t>Campylobacter portucalensis</w:t>
      </w:r>
      <w:r w:rsidRPr="00EC1184">
        <w:rPr>
          <w:rFonts w:ascii="Arial" w:eastAsia="Calibri" w:hAnsi="Arial" w:cs="Arial"/>
        </w:rPr>
        <w:t xml:space="preserve">. Foram isoladas três estirpes de </w:t>
      </w:r>
      <w:r w:rsidRPr="00EC1184">
        <w:rPr>
          <w:rFonts w:ascii="Arial" w:eastAsia="Calibri" w:hAnsi="Arial" w:cs="Arial"/>
          <w:i/>
          <w:iCs/>
        </w:rPr>
        <w:t>C. portucalensis</w:t>
      </w:r>
      <w:r w:rsidRPr="00EC1184">
        <w:rPr>
          <w:rFonts w:ascii="Arial" w:eastAsia="Calibri" w:hAnsi="Arial" w:cs="Arial"/>
        </w:rPr>
        <w:t xml:space="preserve"> com sequências com elevada identidade com a sequência ISCfe1 e </w:t>
      </w:r>
      <w:r w:rsidRPr="00EC1184">
        <w:rPr>
          <w:rFonts w:ascii="Arial" w:eastAsia="Calibri" w:hAnsi="Arial" w:cs="Arial"/>
          <w:i/>
          <w:iCs/>
        </w:rPr>
        <w:t xml:space="preserve">parA, </w:t>
      </w:r>
      <w:r w:rsidRPr="00EC1184">
        <w:rPr>
          <w:rFonts w:ascii="Arial" w:eastAsia="Calibri" w:hAnsi="Arial" w:cs="Arial"/>
          <w:iCs/>
        </w:rPr>
        <w:t xml:space="preserve">as quais foram identificadas como </w:t>
      </w:r>
      <w:r w:rsidRPr="00EC1184">
        <w:rPr>
          <w:rFonts w:ascii="Arial" w:eastAsia="Calibri" w:hAnsi="Arial" w:cs="Arial"/>
        </w:rPr>
        <w:t xml:space="preserve">responsáveis pelos resultados falso-positivos nos ensaios de deteção de </w:t>
      </w:r>
      <w:r w:rsidRPr="00EC1184">
        <w:rPr>
          <w:rFonts w:ascii="Arial" w:eastAsia="Calibri" w:hAnsi="Arial" w:cs="Arial"/>
          <w:i/>
          <w:iCs/>
        </w:rPr>
        <w:t>C. fetus</w:t>
      </w:r>
      <w:r w:rsidRPr="00EC1184">
        <w:rPr>
          <w:rFonts w:ascii="Arial" w:eastAsia="Calibri" w:hAnsi="Arial" w:cs="Arial"/>
        </w:rPr>
        <w:t xml:space="preserve"> subsp. </w:t>
      </w:r>
      <w:r w:rsidRPr="00EC1184">
        <w:rPr>
          <w:rFonts w:ascii="Arial" w:eastAsia="Calibri" w:hAnsi="Arial" w:cs="Arial"/>
          <w:i/>
          <w:iCs/>
        </w:rPr>
        <w:t>venerealis</w:t>
      </w:r>
      <w:r w:rsidRPr="00EC1184">
        <w:rPr>
          <w:rFonts w:ascii="Arial" w:eastAsia="Calibri" w:hAnsi="Arial" w:cs="Arial"/>
        </w:rPr>
        <w:t>.</w:t>
      </w:r>
    </w:p>
    <w:p w14:paraId="3E3711C7" w14:textId="77777777" w:rsidR="00EC1184" w:rsidRPr="00EC1184" w:rsidRDefault="00EC1184" w:rsidP="00EC1184">
      <w:pPr>
        <w:jc w:val="both"/>
        <w:rPr>
          <w:rFonts w:ascii="Arial" w:eastAsia="Calibri" w:hAnsi="Arial" w:cs="Arial"/>
        </w:rPr>
      </w:pPr>
      <w:r w:rsidRPr="00EC1184">
        <w:rPr>
          <w:rFonts w:ascii="Arial" w:eastAsia="Calibri" w:hAnsi="Arial" w:cs="Arial"/>
          <w:b/>
          <w:bCs/>
        </w:rPr>
        <w:t>Conclusões:</w:t>
      </w:r>
      <w:r w:rsidRPr="00EC1184">
        <w:rPr>
          <w:rFonts w:ascii="Arial" w:eastAsia="Calibri" w:hAnsi="Arial" w:cs="Arial"/>
        </w:rPr>
        <w:t xml:space="preserve"> Este estudo demonstrou que os métodos moleculares direcionados para os alvos mais comumente usados na identificação de </w:t>
      </w:r>
      <w:r w:rsidRPr="00EC1184">
        <w:rPr>
          <w:rFonts w:ascii="Arial" w:eastAsia="Calibri" w:hAnsi="Arial" w:cs="Arial"/>
          <w:i/>
          <w:iCs/>
        </w:rPr>
        <w:t xml:space="preserve">C. fetus </w:t>
      </w:r>
      <w:r w:rsidRPr="00EC1184">
        <w:rPr>
          <w:rFonts w:ascii="Arial" w:eastAsia="Calibri" w:hAnsi="Arial" w:cs="Arial"/>
        </w:rPr>
        <w:t xml:space="preserve">subsp. </w:t>
      </w:r>
      <w:r w:rsidRPr="00EC1184">
        <w:rPr>
          <w:rFonts w:ascii="Arial" w:eastAsia="Calibri" w:hAnsi="Arial" w:cs="Arial"/>
          <w:i/>
          <w:iCs/>
        </w:rPr>
        <w:t>venerealis</w:t>
      </w:r>
      <w:r w:rsidRPr="00EC1184">
        <w:rPr>
          <w:rFonts w:ascii="Arial" w:eastAsia="Calibri" w:hAnsi="Arial" w:cs="Arial"/>
        </w:rPr>
        <w:t xml:space="preserve">, incluindo o gene </w:t>
      </w:r>
      <w:r w:rsidRPr="00EC1184">
        <w:rPr>
          <w:rFonts w:ascii="Arial" w:eastAsia="Calibri" w:hAnsi="Arial" w:cs="Arial"/>
          <w:i/>
          <w:iCs/>
        </w:rPr>
        <w:t>parA</w:t>
      </w:r>
      <w:r w:rsidRPr="00EC1184">
        <w:rPr>
          <w:rFonts w:ascii="Arial" w:eastAsia="Calibri" w:hAnsi="Arial" w:cs="Arial"/>
        </w:rPr>
        <w:t xml:space="preserve"> e a sequência de inserção ISCfe1, podem originar uma elevada taxa de resultados falso-positivos. Esta falha de especificidade poderá dever-se à presença de sequências homólogas no genoma de outras espécies bacterianas, tal como foi evidenciado em </w:t>
      </w:r>
      <w:r w:rsidRPr="00EC1184">
        <w:rPr>
          <w:rFonts w:ascii="Arial" w:eastAsia="Calibri" w:hAnsi="Arial" w:cs="Arial"/>
          <w:i/>
          <w:iCs/>
        </w:rPr>
        <w:t>C. portucalensis.</w:t>
      </w:r>
    </w:p>
    <w:p w14:paraId="61B1CC51" w14:textId="77777777" w:rsidR="00EC1184" w:rsidRPr="00EC1184" w:rsidRDefault="00EC1184" w:rsidP="00EC1184">
      <w:pPr>
        <w:jc w:val="both"/>
        <w:rPr>
          <w:rFonts w:ascii="Arial" w:eastAsia="Calibri" w:hAnsi="Arial" w:cs="Arial"/>
        </w:rPr>
      </w:pPr>
    </w:p>
    <w:p w14:paraId="7CF83522" w14:textId="77777777" w:rsidR="00EC1184" w:rsidRPr="00EC1184" w:rsidRDefault="00EC1184" w:rsidP="00EC1184">
      <w:pPr>
        <w:jc w:val="both"/>
        <w:rPr>
          <w:rFonts w:ascii="Arial" w:eastAsia="Calibri" w:hAnsi="Arial" w:cs="Arial"/>
          <w:color w:val="000000"/>
        </w:rPr>
      </w:pPr>
      <w:r w:rsidRPr="00EC1184">
        <w:rPr>
          <w:rFonts w:ascii="Arial" w:eastAsia="Calibri" w:hAnsi="Arial" w:cs="Arial"/>
          <w:b/>
          <w:bCs/>
        </w:rPr>
        <w:t>Palavras-chave:</w:t>
      </w:r>
      <w:r w:rsidRPr="00EC1184">
        <w:rPr>
          <w:rFonts w:ascii="Arial" w:eastAsia="Calibri" w:hAnsi="Arial" w:cs="Arial"/>
        </w:rPr>
        <w:t xml:space="preserve"> </w:t>
      </w:r>
      <w:r w:rsidRPr="00EC1184">
        <w:rPr>
          <w:rFonts w:ascii="Arial" w:eastAsia="Calibri" w:hAnsi="Arial" w:cs="Arial"/>
          <w:i/>
          <w:iCs/>
        </w:rPr>
        <w:t>Campylobacter fetus</w:t>
      </w:r>
      <w:r w:rsidRPr="00EC1184">
        <w:rPr>
          <w:rFonts w:ascii="Arial" w:eastAsia="Calibri" w:hAnsi="Arial" w:cs="Arial"/>
        </w:rPr>
        <w:t xml:space="preserve"> subsp. </w:t>
      </w:r>
      <w:r w:rsidRPr="00EC1184">
        <w:rPr>
          <w:rFonts w:ascii="Arial" w:eastAsia="Calibri" w:hAnsi="Arial" w:cs="Arial"/>
          <w:i/>
          <w:iCs/>
        </w:rPr>
        <w:t>venerealis</w:t>
      </w:r>
      <w:r w:rsidRPr="00EC1184">
        <w:rPr>
          <w:rFonts w:ascii="Arial" w:eastAsia="Calibri" w:hAnsi="Arial" w:cs="Arial"/>
        </w:rPr>
        <w:t xml:space="preserve">; Campilobacteriose </w:t>
      </w:r>
      <w:r w:rsidRPr="00EC1184">
        <w:rPr>
          <w:rFonts w:ascii="Arial" w:eastAsia="Calibri" w:hAnsi="Arial" w:cs="Arial"/>
          <w:color w:val="000000"/>
        </w:rPr>
        <w:t xml:space="preserve">Genital Bovina; </w:t>
      </w:r>
      <w:r w:rsidRPr="00EC1184">
        <w:rPr>
          <w:rFonts w:ascii="Arial" w:eastAsia="Calibri" w:hAnsi="Arial" w:cs="Arial"/>
          <w:i/>
          <w:iCs/>
          <w:color w:val="000000"/>
        </w:rPr>
        <w:t>Campylobater portucalensis</w:t>
      </w:r>
      <w:r w:rsidRPr="00EC1184">
        <w:rPr>
          <w:rFonts w:ascii="Arial" w:eastAsia="Calibri" w:hAnsi="Arial" w:cs="Arial"/>
          <w:color w:val="000000"/>
        </w:rPr>
        <w:t>; Diagnóstico molecular.</w:t>
      </w:r>
    </w:p>
    <w:p w14:paraId="591B6744" w14:textId="77777777" w:rsidR="00EC1184" w:rsidRPr="00EC1184" w:rsidRDefault="00EC1184" w:rsidP="00EC1184">
      <w:pPr>
        <w:jc w:val="both"/>
        <w:rPr>
          <w:rFonts w:ascii="Arial" w:eastAsia="Calibri" w:hAnsi="Arial" w:cs="Arial"/>
          <w:color w:val="000000"/>
        </w:rPr>
      </w:pPr>
    </w:p>
    <w:p w14:paraId="0B5576BF" w14:textId="77777777" w:rsidR="00EC1184" w:rsidRPr="00EC1184" w:rsidRDefault="00EC1184" w:rsidP="00EC1184">
      <w:pPr>
        <w:rPr>
          <w:rFonts w:ascii="Arial" w:eastAsia="Calibri" w:hAnsi="Arial" w:cs="Arial"/>
          <w:color w:val="000000"/>
          <w:shd w:val="clear" w:color="auto" w:fill="FFFFFF"/>
        </w:rPr>
      </w:pPr>
      <w:r w:rsidRPr="00EC1184">
        <w:rPr>
          <w:rFonts w:ascii="Arial" w:eastAsia="Calibri" w:hAnsi="Arial" w:cs="Arial"/>
          <w:b/>
          <w:bCs/>
          <w:color w:val="000000"/>
        </w:rPr>
        <w:t xml:space="preserve">Financiamento: </w:t>
      </w:r>
      <w:r w:rsidRPr="00EC1184">
        <w:rPr>
          <w:rFonts w:ascii="Arial" w:eastAsia="Calibri" w:hAnsi="Arial" w:cs="Arial"/>
          <w:color w:val="000000"/>
        </w:rPr>
        <w:t>Este estudo foi financiado pela Fundação para a Ciência e Tecnologia (FCT) através do projeto</w:t>
      </w:r>
      <w:r w:rsidRPr="00EC1184">
        <w:rPr>
          <w:rFonts w:ascii="Arial" w:eastAsia="Calibri" w:hAnsi="Arial" w:cs="Arial"/>
          <w:b/>
          <w:bCs/>
          <w:color w:val="000000"/>
        </w:rPr>
        <w:t xml:space="preserve"> </w:t>
      </w:r>
      <w:r w:rsidRPr="00EC1184">
        <w:rPr>
          <w:rFonts w:ascii="Arial" w:eastAsia="Calibri" w:hAnsi="Arial" w:cs="Arial"/>
          <w:color w:val="000000"/>
          <w:shd w:val="clear" w:color="auto" w:fill="FFFFFF"/>
        </w:rPr>
        <w:t>PTDC/CVT-CVT/30145/2017, co-financiado pelo Fundo Europeu de Desenvolvimento Regional (FEDER). Este trabalho também foi financiado pelo Centro de Investigação Interdisciplinar em Sanidade Animal (Projeto UIDB/00276/2020).</w:t>
      </w:r>
    </w:p>
    <w:p w14:paraId="68BCC660" w14:textId="3CB8EF68" w:rsidR="002F52BB" w:rsidRPr="00EC1184" w:rsidRDefault="002F52BB" w:rsidP="00EC1184"/>
    <w:sectPr w:rsidR="002F52BB" w:rsidRPr="00EC1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10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136AC6"/>
    <w:rsid w:val="00187058"/>
    <w:rsid w:val="00210E5F"/>
    <w:rsid w:val="002F52BB"/>
    <w:rsid w:val="00377B29"/>
    <w:rsid w:val="00686BEE"/>
    <w:rsid w:val="007B46CC"/>
    <w:rsid w:val="008B64CF"/>
    <w:rsid w:val="00902F30"/>
    <w:rsid w:val="00C20DD4"/>
    <w:rsid w:val="00D15287"/>
    <w:rsid w:val="00E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6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6B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2024-01-11T17:11:00Z</dcterms:created>
  <dcterms:modified xsi:type="dcterms:W3CDTF">2024-01-11T17:11:00Z</dcterms:modified>
</cp:coreProperties>
</file>