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0D86" w14:textId="77777777" w:rsidR="00C915F2" w:rsidRPr="00C915F2" w:rsidRDefault="00C915F2" w:rsidP="00C915F2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76"/>
      <w:r w:rsidRPr="00C915F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Infeção por </w:t>
      </w:r>
      <w:r w:rsidRPr="00C915F2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Mycoplasma agassizii</w:t>
      </w:r>
      <w:r w:rsidRPr="00C915F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tartarugas terrestres sob cuidados humanos em Portugal Continental</w:t>
      </w:r>
      <w:bookmarkEnd w:id="0"/>
    </w:p>
    <w:p w14:paraId="0DABD754" w14:textId="77777777" w:rsidR="00C915F2" w:rsidRPr="00C915F2" w:rsidRDefault="00C915F2" w:rsidP="00C915F2">
      <w:pPr>
        <w:rPr>
          <w:rFonts w:ascii="Calibri" w:eastAsia="Calibri" w:hAnsi="Calibri" w:cs="Times New Roman"/>
          <w:lang w:eastAsia="en-GB"/>
        </w:rPr>
      </w:pPr>
    </w:p>
    <w:p w14:paraId="1470588E" w14:textId="77777777" w:rsidR="00C915F2" w:rsidRPr="00C915F2" w:rsidRDefault="00C915F2" w:rsidP="00C915F2">
      <w:pPr>
        <w:jc w:val="center"/>
        <w:rPr>
          <w:rFonts w:ascii="Arial" w:eastAsia="Calibri" w:hAnsi="Arial" w:cs="Arial"/>
          <w:vertAlign w:val="superscript"/>
        </w:rPr>
      </w:pPr>
      <w:r w:rsidRPr="00C915F2">
        <w:rPr>
          <w:rFonts w:ascii="Arial" w:eastAsia="Calibri" w:hAnsi="Arial" w:cs="Arial"/>
          <w:u w:val="single"/>
        </w:rPr>
        <w:t>Manuel Louro</w:t>
      </w:r>
      <w:r w:rsidRPr="00C915F2">
        <w:rPr>
          <w:rFonts w:ascii="Arial" w:eastAsia="Calibri" w:hAnsi="Arial" w:cs="Arial"/>
          <w:u w:val="single"/>
          <w:vertAlign w:val="superscript"/>
        </w:rPr>
        <w:t>1</w:t>
      </w:r>
      <w:r w:rsidRPr="00C915F2">
        <w:rPr>
          <w:rFonts w:ascii="Arial" w:eastAsia="Calibri" w:hAnsi="Arial" w:cs="Arial"/>
        </w:rPr>
        <w:t>, Gonçalo Portela</w:t>
      </w:r>
      <w:r w:rsidRPr="00C915F2">
        <w:rPr>
          <w:rFonts w:ascii="Arial" w:eastAsia="Calibri" w:hAnsi="Arial" w:cs="Arial"/>
          <w:vertAlign w:val="superscript"/>
        </w:rPr>
        <w:t xml:space="preserve"> 2</w:t>
      </w:r>
      <w:r w:rsidRPr="00C915F2">
        <w:rPr>
          <w:rFonts w:ascii="Arial" w:eastAsia="Calibri" w:hAnsi="Arial" w:cs="Arial"/>
        </w:rPr>
        <w:t>, Rui Patrício</w:t>
      </w:r>
      <w:r w:rsidRPr="00C915F2">
        <w:rPr>
          <w:rFonts w:ascii="Arial" w:eastAsia="Calibri" w:hAnsi="Arial" w:cs="Arial"/>
          <w:vertAlign w:val="superscript"/>
        </w:rPr>
        <w:t>1,3</w:t>
      </w:r>
      <w:r w:rsidRPr="00C915F2">
        <w:rPr>
          <w:rFonts w:ascii="Arial" w:eastAsia="Calibri" w:hAnsi="Arial" w:cs="Arial"/>
        </w:rPr>
        <w:t>, Margarida Alves</w:t>
      </w:r>
      <w:r w:rsidRPr="00C915F2">
        <w:rPr>
          <w:rFonts w:ascii="Arial" w:eastAsia="Calibri" w:hAnsi="Arial" w:cs="Arial"/>
          <w:vertAlign w:val="superscript"/>
        </w:rPr>
        <w:t>1,4</w:t>
      </w:r>
    </w:p>
    <w:p w14:paraId="35020B6A" w14:textId="77777777" w:rsidR="00C915F2" w:rsidRPr="00C915F2" w:rsidRDefault="00C915F2" w:rsidP="00C915F2">
      <w:pPr>
        <w:jc w:val="center"/>
        <w:rPr>
          <w:rFonts w:ascii="Arial" w:eastAsia="Calibri" w:hAnsi="Arial" w:cs="Arial"/>
        </w:rPr>
      </w:pPr>
    </w:p>
    <w:p w14:paraId="2A7CB474" w14:textId="77777777" w:rsidR="00C915F2" w:rsidRPr="00C915F2" w:rsidRDefault="00C915F2" w:rsidP="00C915F2">
      <w:pPr>
        <w:jc w:val="both"/>
        <w:rPr>
          <w:rFonts w:ascii="Arial" w:eastAsia="Calibri" w:hAnsi="Arial" w:cs="Arial"/>
          <w:sz w:val="20"/>
          <w:szCs w:val="20"/>
        </w:rPr>
      </w:pPr>
      <w:r w:rsidRPr="00C915F2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C915F2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0D23A2E8" w14:textId="77777777" w:rsidR="00C915F2" w:rsidRPr="00C915F2" w:rsidRDefault="00C915F2" w:rsidP="00C915F2">
      <w:pPr>
        <w:jc w:val="both"/>
        <w:rPr>
          <w:rFonts w:ascii="Arial" w:eastAsia="Calibri" w:hAnsi="Arial" w:cs="Arial"/>
          <w:sz w:val="20"/>
          <w:szCs w:val="20"/>
        </w:rPr>
      </w:pPr>
      <w:r w:rsidRPr="00C915F2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r w:rsidRPr="00C915F2">
        <w:rPr>
          <w:rFonts w:ascii="Arial" w:eastAsia="Calibri" w:hAnsi="Arial" w:cs="Arial"/>
          <w:sz w:val="20"/>
          <w:szCs w:val="20"/>
        </w:rPr>
        <w:t>Exoticvets, Lisboa, Portugal</w:t>
      </w:r>
    </w:p>
    <w:p w14:paraId="2B2D4CD0" w14:textId="77777777" w:rsidR="00C915F2" w:rsidRPr="00C915F2" w:rsidRDefault="00C915F2" w:rsidP="00C915F2">
      <w:pPr>
        <w:jc w:val="both"/>
        <w:rPr>
          <w:rFonts w:ascii="Arial" w:eastAsia="Calibri" w:hAnsi="Arial" w:cs="Arial"/>
          <w:sz w:val="20"/>
          <w:szCs w:val="20"/>
        </w:rPr>
      </w:pPr>
      <w:r w:rsidRPr="00C915F2">
        <w:rPr>
          <w:rFonts w:ascii="Arial" w:eastAsia="Calibri" w:hAnsi="Arial" w:cs="Arial"/>
          <w:sz w:val="20"/>
          <w:szCs w:val="20"/>
          <w:vertAlign w:val="superscript"/>
        </w:rPr>
        <w:t xml:space="preserve">3 </w:t>
      </w:r>
      <w:r w:rsidRPr="00C915F2">
        <w:rPr>
          <w:rFonts w:ascii="Arial" w:eastAsia="Calibri" w:hAnsi="Arial" w:cs="Arial"/>
          <w:sz w:val="20"/>
          <w:szCs w:val="20"/>
        </w:rPr>
        <w:t>All Pets – Clínica Veterinária de Tires, Lisboa, Portugal</w:t>
      </w:r>
    </w:p>
    <w:p w14:paraId="03E899B0" w14:textId="77777777" w:rsidR="00C915F2" w:rsidRPr="00C915F2" w:rsidRDefault="00C915F2" w:rsidP="00C915F2">
      <w:pPr>
        <w:jc w:val="both"/>
        <w:rPr>
          <w:rFonts w:ascii="Arial" w:eastAsia="Calibri" w:hAnsi="Arial" w:cs="Arial"/>
          <w:sz w:val="20"/>
          <w:szCs w:val="20"/>
        </w:rPr>
      </w:pPr>
      <w:r w:rsidRPr="00C915F2">
        <w:rPr>
          <w:rFonts w:ascii="Arial" w:eastAsia="Calibri" w:hAnsi="Arial" w:cs="Arial"/>
          <w:sz w:val="20"/>
          <w:szCs w:val="20"/>
          <w:vertAlign w:val="superscript"/>
        </w:rPr>
        <w:t xml:space="preserve">4 </w:t>
      </w:r>
      <w:r w:rsidRPr="00C915F2">
        <w:rPr>
          <w:rFonts w:ascii="Arial" w:eastAsia="Calibri" w:hAnsi="Arial" w:cs="Arial"/>
          <w:sz w:val="20"/>
          <w:szCs w:val="20"/>
        </w:rPr>
        <w:t>CBIOS – Research Center for Biosciences and Health Technologies, Universidade Lusófona, Lisboa, Portugal</w:t>
      </w:r>
    </w:p>
    <w:p w14:paraId="0D5CAB6A" w14:textId="77777777" w:rsidR="00C915F2" w:rsidRPr="00C915F2" w:rsidRDefault="00C915F2" w:rsidP="00C915F2">
      <w:pPr>
        <w:spacing w:line="360" w:lineRule="auto"/>
        <w:jc w:val="both"/>
        <w:rPr>
          <w:rFonts w:ascii="Arial" w:eastAsia="Calibri" w:hAnsi="Arial" w:cs="Arial"/>
        </w:rPr>
      </w:pPr>
    </w:p>
    <w:p w14:paraId="3728B702" w14:textId="77777777" w:rsidR="00C915F2" w:rsidRPr="00C915F2" w:rsidRDefault="00C915F2" w:rsidP="00C915F2">
      <w:pPr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</w:rPr>
        <w:t xml:space="preserve">A doença do trato respiratório superior (URTD) é uma causa frequente de morbilidade e mortalidade em tartarugas selvagens e em cativeiro.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 é um importante agente causador da URTD. A infeção por este agente pode apresentar-se nas formas crónica ou subclínica, com recidivas sintomáticas intermitentes. Os animais assintomáticos podem atuar como portadores de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. A crescente procura de tartarugas terrestres como animais de estimação, associada elevada taxa de transmissão deste agente, constituem fatores de ameaça à sobrevivência destas espécies. </w:t>
      </w:r>
    </w:p>
    <w:p w14:paraId="300195BA" w14:textId="77777777" w:rsidR="00C915F2" w:rsidRPr="00C915F2" w:rsidRDefault="00C915F2" w:rsidP="00C915F2">
      <w:pPr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  <w:b/>
          <w:bCs/>
        </w:rPr>
        <w:t>Objectivos:</w:t>
      </w:r>
      <w:r w:rsidRPr="00C915F2">
        <w:rPr>
          <w:rFonts w:ascii="Arial" w:eastAsia="Calibri" w:hAnsi="Arial" w:cs="Arial"/>
        </w:rPr>
        <w:t xml:space="preserve"> O objetivo deste estudo foi o de estimar, por diagnóstico molecular, a frequência da infeção por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 em tartarugas terrestres saudáveis sob cuidados humanos.</w:t>
      </w:r>
    </w:p>
    <w:p w14:paraId="47D9DDC8" w14:textId="77777777" w:rsidR="00C915F2" w:rsidRPr="00C915F2" w:rsidRDefault="00C915F2" w:rsidP="00C915F2">
      <w:pPr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  <w:b/>
          <w:bCs/>
        </w:rPr>
        <w:t>Material e Métodos:</w:t>
      </w:r>
      <w:r w:rsidRPr="00C915F2">
        <w:rPr>
          <w:rFonts w:ascii="Arial" w:eastAsia="Calibri" w:hAnsi="Arial" w:cs="Arial"/>
        </w:rPr>
        <w:t xml:space="preserve"> Foram incluídos no estudo 55 tartarugas terrestres sem evidência de sinais clínicos, às quais foram recolhidas zaragatoas orais. Após a extracção de DNA, foi feita a deteção de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 através de PCR convencional. Todos os animais em estudo pertenciam à família </w:t>
      </w:r>
      <w:r w:rsidRPr="00C915F2">
        <w:rPr>
          <w:rFonts w:ascii="Arial" w:eastAsia="Calibri" w:hAnsi="Arial" w:cs="Arial"/>
          <w:i/>
          <w:iCs/>
        </w:rPr>
        <w:t>Testudinidae</w:t>
      </w:r>
      <w:r w:rsidRPr="00C915F2">
        <w:rPr>
          <w:rFonts w:ascii="Arial" w:eastAsia="Calibri" w:hAnsi="Arial" w:cs="Arial"/>
        </w:rPr>
        <w:t xml:space="preserve"> e às seguintes espécies: </w:t>
      </w:r>
      <w:r w:rsidRPr="00C915F2">
        <w:rPr>
          <w:rFonts w:ascii="Arial" w:eastAsia="Calibri" w:hAnsi="Arial" w:cs="Arial"/>
          <w:i/>
          <w:iCs/>
        </w:rPr>
        <w:t>Aldabrachelys gigantea</w:t>
      </w:r>
      <w:r w:rsidRPr="00C915F2">
        <w:rPr>
          <w:rFonts w:ascii="Arial" w:eastAsia="Calibri" w:hAnsi="Arial" w:cs="Arial"/>
        </w:rPr>
        <w:t xml:space="preserve"> (n=1), </w:t>
      </w:r>
      <w:r w:rsidRPr="00C915F2">
        <w:rPr>
          <w:rFonts w:ascii="Arial" w:eastAsia="Calibri" w:hAnsi="Arial" w:cs="Arial"/>
          <w:i/>
          <w:iCs/>
        </w:rPr>
        <w:t>Astrochelys radiata</w:t>
      </w:r>
      <w:r w:rsidRPr="00C915F2">
        <w:rPr>
          <w:rFonts w:ascii="Arial" w:eastAsia="Calibri" w:hAnsi="Arial" w:cs="Arial"/>
        </w:rPr>
        <w:t xml:space="preserve"> (n=2), </w:t>
      </w:r>
      <w:r w:rsidRPr="00C915F2">
        <w:rPr>
          <w:rFonts w:ascii="Arial" w:eastAsia="Calibri" w:hAnsi="Arial" w:cs="Arial"/>
          <w:i/>
          <w:iCs/>
        </w:rPr>
        <w:t>Centrochelys sulcata</w:t>
      </w:r>
      <w:r w:rsidRPr="00C915F2">
        <w:rPr>
          <w:rFonts w:ascii="Arial" w:eastAsia="Calibri" w:hAnsi="Arial" w:cs="Arial"/>
        </w:rPr>
        <w:t xml:space="preserve"> (n=9), </w:t>
      </w:r>
      <w:r w:rsidRPr="00C915F2">
        <w:rPr>
          <w:rFonts w:ascii="Arial" w:eastAsia="Calibri" w:hAnsi="Arial" w:cs="Arial"/>
          <w:i/>
          <w:iCs/>
        </w:rPr>
        <w:t>Chelonoidis carbonarius</w:t>
      </w:r>
      <w:r w:rsidRPr="00C915F2">
        <w:rPr>
          <w:rFonts w:ascii="Arial" w:eastAsia="Calibri" w:hAnsi="Arial" w:cs="Arial"/>
        </w:rPr>
        <w:t xml:space="preserve"> (n=8), </w:t>
      </w:r>
      <w:r w:rsidRPr="00C915F2">
        <w:rPr>
          <w:rFonts w:ascii="Arial" w:eastAsia="Calibri" w:hAnsi="Arial" w:cs="Arial"/>
          <w:i/>
          <w:iCs/>
        </w:rPr>
        <w:t>Indotestudo elongata</w:t>
      </w:r>
      <w:r w:rsidRPr="00C915F2">
        <w:rPr>
          <w:rFonts w:ascii="Arial" w:eastAsia="Calibri" w:hAnsi="Arial" w:cs="Arial"/>
        </w:rPr>
        <w:t xml:space="preserve"> (n=2), </w:t>
      </w:r>
      <w:r w:rsidRPr="00C915F2">
        <w:rPr>
          <w:rFonts w:ascii="Arial" w:eastAsia="Calibri" w:hAnsi="Arial" w:cs="Arial"/>
          <w:i/>
          <w:iCs/>
        </w:rPr>
        <w:t>Malacochersus tornieri</w:t>
      </w:r>
      <w:r w:rsidRPr="00C915F2">
        <w:rPr>
          <w:rFonts w:ascii="Arial" w:eastAsia="Calibri" w:hAnsi="Arial" w:cs="Arial"/>
        </w:rPr>
        <w:t xml:space="preserve"> (n=3), </w:t>
      </w:r>
      <w:r w:rsidRPr="00C915F2">
        <w:rPr>
          <w:rFonts w:ascii="Arial" w:eastAsia="Calibri" w:hAnsi="Arial" w:cs="Arial"/>
          <w:i/>
          <w:iCs/>
        </w:rPr>
        <w:t>Stigmochelys pardalis</w:t>
      </w:r>
      <w:r w:rsidRPr="00C915F2">
        <w:rPr>
          <w:rFonts w:ascii="Arial" w:eastAsia="Calibri" w:hAnsi="Arial" w:cs="Arial"/>
        </w:rPr>
        <w:t xml:space="preserve"> (n=7), </w:t>
      </w:r>
      <w:r w:rsidRPr="00C915F2">
        <w:rPr>
          <w:rFonts w:ascii="Arial" w:eastAsia="Calibri" w:hAnsi="Arial" w:cs="Arial"/>
          <w:i/>
          <w:iCs/>
        </w:rPr>
        <w:t>Testudo graeca</w:t>
      </w:r>
      <w:r w:rsidRPr="00C915F2">
        <w:rPr>
          <w:rFonts w:ascii="Arial" w:eastAsia="Calibri" w:hAnsi="Arial" w:cs="Arial"/>
        </w:rPr>
        <w:t xml:space="preserve"> (n=13), </w:t>
      </w:r>
      <w:r w:rsidRPr="00C915F2">
        <w:rPr>
          <w:rFonts w:ascii="Arial" w:eastAsia="Calibri" w:hAnsi="Arial" w:cs="Arial"/>
          <w:i/>
          <w:iCs/>
        </w:rPr>
        <w:t>Testudo hermanni</w:t>
      </w:r>
      <w:r w:rsidRPr="00C915F2">
        <w:rPr>
          <w:rFonts w:ascii="Arial" w:eastAsia="Calibri" w:hAnsi="Arial" w:cs="Arial"/>
        </w:rPr>
        <w:t xml:space="preserve"> (n=4), </w:t>
      </w:r>
      <w:r w:rsidRPr="00C915F2">
        <w:rPr>
          <w:rFonts w:ascii="Arial" w:eastAsia="Calibri" w:hAnsi="Arial" w:cs="Arial"/>
          <w:i/>
          <w:iCs/>
        </w:rPr>
        <w:t>Testudo horsfieldii</w:t>
      </w:r>
      <w:r w:rsidRPr="00C915F2">
        <w:rPr>
          <w:rFonts w:ascii="Arial" w:eastAsia="Calibri" w:hAnsi="Arial" w:cs="Arial"/>
        </w:rPr>
        <w:t xml:space="preserve"> (n=4) e </w:t>
      </w:r>
      <w:r w:rsidRPr="00C915F2">
        <w:rPr>
          <w:rFonts w:ascii="Arial" w:eastAsia="Calibri" w:hAnsi="Arial" w:cs="Arial"/>
          <w:i/>
          <w:iCs/>
        </w:rPr>
        <w:t>Testudo marginata</w:t>
      </w:r>
      <w:r w:rsidRPr="00C915F2">
        <w:rPr>
          <w:rFonts w:ascii="Arial" w:eastAsia="Calibri" w:hAnsi="Arial" w:cs="Arial"/>
        </w:rPr>
        <w:t xml:space="preserve"> (n=2). Os animais pertenciam a um total de 7 coleções distintas, dividindo-se por 18 populações, de várias regiões de Portugal Continental. </w:t>
      </w:r>
    </w:p>
    <w:p w14:paraId="0C1E1A00" w14:textId="77777777" w:rsidR="00C915F2" w:rsidRPr="00C915F2" w:rsidRDefault="00C915F2" w:rsidP="00C915F2">
      <w:pPr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  <w:b/>
          <w:bCs/>
        </w:rPr>
        <w:t>Resultados:</w:t>
      </w:r>
      <w:r w:rsidRPr="00C915F2">
        <w:rPr>
          <w:rFonts w:ascii="Arial" w:eastAsia="Calibri" w:hAnsi="Arial" w:cs="Arial"/>
        </w:rPr>
        <w:t xml:space="preserve"> Todas as coleções foram positivas para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. O estudo revelou uma presença preocupante deste agente em 69,1% (38/55) das amostras, com apenas três populações totalmente livres da infeção. </w:t>
      </w:r>
    </w:p>
    <w:p w14:paraId="79D82B64" w14:textId="77777777" w:rsidR="00C915F2" w:rsidRPr="00C915F2" w:rsidRDefault="00C915F2" w:rsidP="00C915F2">
      <w:pPr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  <w:b/>
          <w:bCs/>
        </w:rPr>
        <w:t>Conclusões:</w:t>
      </w:r>
      <w:r w:rsidRPr="00C915F2">
        <w:rPr>
          <w:rFonts w:ascii="Arial" w:eastAsia="Calibri" w:hAnsi="Arial" w:cs="Arial"/>
        </w:rPr>
        <w:t xml:space="preserve"> O facto de ter sido identificada, em animais saudáveis, uma frequência de infeção de 69,1% é preocupante devido ao papel que estes animais podem ter na disseminação do agente. O crescente comércio destas espécies constitui um risco de transmissão do agente a outras regiões geográficas. Este trabalho representa um importante contributo para uma melhor compreensão do impacto epidemiológico e clínico da infeção por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 xml:space="preserve"> na fauna cativa de tartarugas no nosso País.</w:t>
      </w:r>
    </w:p>
    <w:p w14:paraId="7505A0C6" w14:textId="77777777" w:rsidR="00C915F2" w:rsidRPr="00C915F2" w:rsidRDefault="00C915F2" w:rsidP="00C915F2">
      <w:pPr>
        <w:ind w:firstLine="708"/>
        <w:jc w:val="both"/>
        <w:rPr>
          <w:rFonts w:ascii="Arial" w:eastAsia="Calibri" w:hAnsi="Arial" w:cs="Arial"/>
        </w:rPr>
      </w:pPr>
    </w:p>
    <w:p w14:paraId="73F5B919" w14:textId="77777777" w:rsidR="00C915F2" w:rsidRPr="00C915F2" w:rsidRDefault="00C915F2" w:rsidP="00C915F2">
      <w:pPr>
        <w:ind w:firstLine="708"/>
        <w:jc w:val="both"/>
        <w:rPr>
          <w:rFonts w:ascii="Arial" w:eastAsia="Calibri" w:hAnsi="Arial" w:cs="Arial"/>
        </w:rPr>
      </w:pPr>
      <w:r w:rsidRPr="00C915F2">
        <w:rPr>
          <w:rFonts w:ascii="Arial" w:eastAsia="Calibri" w:hAnsi="Arial" w:cs="Arial"/>
          <w:b/>
          <w:bCs/>
        </w:rPr>
        <w:t xml:space="preserve">Keywords: </w:t>
      </w:r>
      <w:r w:rsidRPr="00C915F2">
        <w:rPr>
          <w:rFonts w:ascii="Arial" w:eastAsia="Calibri" w:hAnsi="Arial" w:cs="Arial"/>
          <w:i/>
          <w:iCs/>
        </w:rPr>
        <w:t>Mycoplasma agassizii</w:t>
      </w:r>
      <w:r w:rsidRPr="00C915F2">
        <w:rPr>
          <w:rFonts w:ascii="Arial" w:eastAsia="Calibri" w:hAnsi="Arial" w:cs="Arial"/>
        </w:rPr>
        <w:t>; tartarugas terrestres; detecção molecular, PCR.</w:t>
      </w:r>
    </w:p>
    <w:p w14:paraId="34CAE6F3" w14:textId="77777777" w:rsidR="00C915F2" w:rsidRPr="00C915F2" w:rsidRDefault="00C915F2" w:rsidP="00C915F2">
      <w:pPr>
        <w:ind w:firstLine="708"/>
        <w:jc w:val="both"/>
        <w:rPr>
          <w:rFonts w:ascii="Arial" w:eastAsia="Calibri" w:hAnsi="Arial" w:cs="Arial"/>
        </w:rPr>
      </w:pPr>
    </w:p>
    <w:p w14:paraId="68BCC660" w14:textId="670ABD49" w:rsidR="002F52BB" w:rsidRPr="00C915F2" w:rsidRDefault="00C915F2" w:rsidP="00C915F2">
      <w:r w:rsidRPr="00C915F2">
        <w:rPr>
          <w:rFonts w:ascii="Arial" w:eastAsia="Calibri" w:hAnsi="Arial" w:cs="Arial"/>
          <w:b/>
          <w:bCs/>
        </w:rPr>
        <w:t>Financiamento:</w:t>
      </w:r>
      <w:r w:rsidRPr="00C915F2">
        <w:rPr>
          <w:rFonts w:ascii="Arial" w:eastAsia="Calibri" w:hAnsi="Arial" w:cs="Arial"/>
        </w:rPr>
        <w:t xml:space="preserve"> O presente trabalho foi financiado pela Universidade Lusófona (Bolsas Estágio MV 21-22).</w:t>
      </w:r>
    </w:p>
    <w:sectPr w:rsidR="002F52BB" w:rsidRPr="00C91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74A59"/>
    <w:rsid w:val="00136AC6"/>
    <w:rsid w:val="00210E5F"/>
    <w:rsid w:val="002F52BB"/>
    <w:rsid w:val="00377B29"/>
    <w:rsid w:val="00396D23"/>
    <w:rsid w:val="00686BEE"/>
    <w:rsid w:val="007B46CC"/>
    <w:rsid w:val="008B64CF"/>
    <w:rsid w:val="00902F30"/>
    <w:rsid w:val="00C20DD4"/>
    <w:rsid w:val="00C915F2"/>
    <w:rsid w:val="00D15287"/>
    <w:rsid w:val="00E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2024-01-11T17:11:00Z</dcterms:created>
  <dcterms:modified xsi:type="dcterms:W3CDTF">2024-01-11T17:11:00Z</dcterms:modified>
</cp:coreProperties>
</file>