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3F62BD">
      <w:pPr>
        <w:pBdr>
          <w:top w:val="none" w:color="auto" w:sz="0" w:space="0"/>
          <w:left w:val="none" w:color="auto" w:sz="0" w:space="0"/>
          <w:bottom w:val="none" w:color="auto" w:sz="0" w:space="0"/>
          <w:right w:val="none" w:color="auto" w:sz="0" w:space="0"/>
          <w:between w:val="none" w:color="auto" w:sz="0" w:space="0"/>
        </w:pBdr>
        <w:spacing w:after="280" w:line="240" w:lineRule="auto"/>
        <w:ind w:left="2040"/>
        <w:rPr>
          <w:rFonts w:ascii="Times New Roman" w:hAnsi="Times New Roman" w:eastAsia="Times New Roman" w:cs="Times New Roman"/>
          <w:b/>
          <w:bCs/>
          <w:color w:val="221E1F"/>
          <w:sz w:val="28"/>
          <w:szCs w:val="28"/>
        </w:rPr>
      </w:pPr>
      <w:r>
        <w:rPr>
          <w:rFonts w:ascii="Times New Roman" w:hAnsi="Times New Roman" w:eastAsia="Times New Roman" w:cs="Times New Roman"/>
          <w:b/>
          <w:bCs/>
          <w:color w:val="221E1F"/>
          <w:sz w:val="28"/>
          <w:szCs w:val="28"/>
        </w:rPr>
        <w:t>Escola e combate à violência contra as mulheres</w:t>
      </w:r>
      <w:r>
        <w:t xml:space="preserve"> </w:t>
      </w:r>
      <w:r>
        <w:rPr>
          <w:rFonts w:ascii="Times New Roman" w:hAnsi="Times New Roman" w:eastAsia="Times New Roman" w:cs="Times New Roman"/>
          <w:b/>
          <w:bCs/>
          <w:color w:val="221E1F"/>
          <w:sz w:val="28"/>
          <w:szCs w:val="28"/>
        </w:rPr>
        <w:t>na Literatura Recente (2020-2025).</w:t>
      </w:r>
    </w:p>
    <w:p w14:paraId="2E26B59E">
      <w:pPr>
        <w:pBdr>
          <w:top w:val="none" w:color="auto" w:sz="0" w:space="0"/>
          <w:left w:val="none" w:color="auto" w:sz="0" w:space="0"/>
          <w:bottom w:val="none" w:color="auto" w:sz="0" w:space="0"/>
          <w:right w:val="none" w:color="auto" w:sz="0" w:space="0"/>
          <w:between w:val="none" w:color="auto" w:sz="0" w:space="0"/>
        </w:pBdr>
        <w:spacing w:after="0" w:line="240" w:lineRule="auto"/>
        <w:ind w:left="2040"/>
        <w:jc w:val="both"/>
        <w:rPr>
          <w:rFonts w:ascii="Times New Roman" w:hAnsi="Times New Roman" w:eastAsia="Times New Roman" w:cs="Times New Roman"/>
          <w:color w:val="221E1F"/>
          <w:sz w:val="24"/>
          <w:szCs w:val="24"/>
        </w:rPr>
      </w:pPr>
      <w:r>
        <w:rPr>
          <w:rFonts w:ascii="Times New Roman" w:hAnsi="Times New Roman" w:eastAsia="Times New Roman" w:cs="Times New Roman"/>
          <w:color w:val="221E1F"/>
          <w:sz w:val="24"/>
          <w:szCs w:val="24"/>
        </w:rPr>
        <w:t>Caroline Winke Ávila, Guilherme Orestes Canarim,</w:t>
      </w:r>
      <w:r>
        <w:rPr>
          <w:rFonts w:ascii="Noto Sans" w:hAnsi="Noto Sans" w:cs="Noto Sans"/>
          <w:sz w:val="21"/>
          <w:szCs w:val="21"/>
          <w:shd w:val="clear" w:color="auto" w:fill="FFFFFF"/>
        </w:rPr>
        <w:t xml:space="preserve"> </w:t>
      </w:r>
      <w:r>
        <w:rPr>
          <w:rFonts w:ascii="Times New Roman" w:hAnsi="Times New Roman" w:eastAsia="Times New Roman" w:cs="Times New Roman"/>
          <w:color w:val="221E1F"/>
          <w:sz w:val="24"/>
          <w:szCs w:val="24"/>
        </w:rPr>
        <w:t>Andreza de Oliveira, Carolina Bitencourt Ferreira, Gabriel Cesar Costa, Mirela Gusato, Patrick Dutra.</w:t>
      </w:r>
    </w:p>
    <w:p w14:paraId="50234994">
      <w:pPr>
        <w:pBdr>
          <w:top w:val="none" w:color="auto" w:sz="0" w:space="0"/>
          <w:left w:val="none" w:color="auto" w:sz="0" w:space="0"/>
          <w:bottom w:val="single" w:color="000000" w:sz="4" w:space="1"/>
          <w:right w:val="none" w:color="auto" w:sz="0" w:space="0"/>
          <w:between w:val="none" w:color="auto" w:sz="0" w:space="0"/>
        </w:pBdr>
        <w:spacing w:before="560" w:line="240" w:lineRule="auto"/>
        <w:ind w:left="2040"/>
        <w:jc w:val="both"/>
        <w:rPr>
          <w:rFonts w:ascii="Times New Roman" w:hAnsi="Times New Roman" w:eastAsia="Times New Roman" w:cs="Times New Roman"/>
          <w:color w:val="221E1F"/>
          <w:sz w:val="24"/>
          <w:szCs w:val="24"/>
        </w:rPr>
      </w:pPr>
      <w:r>
        <w:rPr>
          <w:rFonts w:ascii="Times New Roman" w:hAnsi="Times New Roman" w:eastAsia="Times New Roman" w:cs="Times New Roman"/>
          <w:b/>
          <w:bCs/>
          <w:color w:val="221E1F"/>
          <w:sz w:val="24"/>
          <w:szCs w:val="24"/>
        </w:rPr>
        <w:t>Resumo</w:t>
      </w:r>
      <w:r>
        <w:rPr>
          <w:rFonts w:ascii="Times New Roman" w:hAnsi="Times New Roman" w:eastAsia="Times New Roman" w:cs="Times New Roman"/>
          <w:color w:val="221E1F"/>
          <w:sz w:val="24"/>
          <w:szCs w:val="24"/>
        </w:rPr>
        <w:t xml:space="preserve"> </w:t>
      </w:r>
    </w:p>
    <w:p w14:paraId="7D716306">
      <w:pPr>
        <w:pBdr>
          <w:top w:val="none" w:color="auto" w:sz="0" w:space="0"/>
          <w:left w:val="none" w:color="auto" w:sz="0" w:space="0"/>
          <w:bottom w:val="single" w:color="000000" w:sz="4" w:space="1"/>
          <w:right w:val="none" w:color="auto" w:sz="0" w:space="0"/>
          <w:between w:val="none" w:color="auto" w:sz="0" w:space="0"/>
        </w:pBdr>
        <w:spacing w:line="240" w:lineRule="auto"/>
        <w:ind w:left="2040"/>
        <w:jc w:val="both"/>
        <w:rPr>
          <w:rFonts w:ascii="Times New Roman" w:hAnsi="Times New Roman" w:eastAsia="Times New Roman" w:cs="Times New Roman"/>
          <w:color w:val="221E1F"/>
          <w:sz w:val="24"/>
          <w:szCs w:val="24"/>
        </w:rPr>
      </w:pPr>
      <w:r>
        <w:rPr>
          <w:rFonts w:ascii="Times New Roman" w:hAnsi="Times New Roman" w:eastAsia="Times New Roman" w:cs="Times New Roman"/>
          <w:color w:val="221E1F"/>
          <w:sz w:val="24"/>
          <w:szCs w:val="24"/>
        </w:rPr>
        <w:t>A violência contra as mulheres é um fenômeno estrutural patriarcal-capitalista. Nesse contexto, a escola pode reproduzir ativamente essa misoginia ou atuar como espaço de desconstrução. O artigo objetiva analisar o que a produção acadêmica (2020-2025) evidencia sobre o papel da escola e de suas práticas pedagógicas no enfrentamento ou na reprodução dessa violência. Adotou-se metodologia híbrida: revisão sistematizada (PRISMA 2020) articulada à análise de conteúdo e à constelação adorniana. Buscas no Portal CAPES, Science Direct, SciELO e Google Scholar geraram um corpus de 13 artigos. Os resultados indicam uma profunda contradição escolar. A omissão de documentos normativos (como a BNCC) esvazia o debate de gênero e fomenta um "medo pedagógico" docente frente ao reacionarismo, reduzindo o enfrentamento a ações descontextualizadas. Conclui-se pela necessidade de uma "criticidade na ambiguidade", na qual a escola reconhece sua cumplicidade institucional para atuar como antítese social da sociedade. Defende-se a urgência de politizar o currículo mediante práticas interseccionais, consolidando a educação como espaço de resistência e emancipação.</w:t>
      </w:r>
    </w:p>
    <w:p w14:paraId="1BF66BA9">
      <w:pPr>
        <w:pBdr>
          <w:top w:val="none" w:color="auto" w:sz="0" w:space="0"/>
          <w:left w:val="none" w:color="auto" w:sz="0" w:space="0"/>
          <w:bottom w:val="single" w:color="000000" w:sz="4" w:space="1"/>
          <w:right w:val="none" w:color="auto" w:sz="0" w:space="0"/>
          <w:between w:val="none" w:color="auto" w:sz="0" w:space="0"/>
        </w:pBdr>
        <w:spacing w:after="0" w:line="360" w:lineRule="auto"/>
        <w:ind w:left="2040"/>
        <w:jc w:val="both"/>
        <w:rPr>
          <w:rFonts w:ascii="Times New Roman" w:hAnsi="Times New Roman" w:eastAsia="Times New Roman" w:cs="Times New Roman"/>
          <w:b/>
          <w:bCs/>
          <w:color w:val="221E1F"/>
          <w:sz w:val="24"/>
          <w:szCs w:val="24"/>
        </w:rPr>
      </w:pPr>
      <w:r>
        <w:rPr>
          <w:rFonts w:ascii="Times New Roman" w:hAnsi="Times New Roman" w:eastAsia="Times New Roman" w:cs="Times New Roman"/>
          <w:b/>
          <w:bCs/>
          <w:color w:val="221E1F"/>
          <w:sz w:val="24"/>
          <w:szCs w:val="24"/>
        </w:rPr>
        <w:t xml:space="preserve">Palavras-chave: </w:t>
      </w:r>
    </w:p>
    <w:p w14:paraId="578CF7B4">
      <w:pPr>
        <w:pBdr>
          <w:top w:val="none" w:color="auto" w:sz="0" w:space="0"/>
          <w:left w:val="none" w:color="auto" w:sz="0" w:space="0"/>
          <w:bottom w:val="none" w:color="auto" w:sz="0" w:space="0"/>
          <w:right w:val="none" w:color="auto" w:sz="0" w:space="0"/>
          <w:between w:val="none" w:color="auto" w:sz="0" w:space="0"/>
        </w:pBdr>
        <w:spacing w:after="0" w:line="240" w:lineRule="auto"/>
        <w:ind w:left="2040"/>
        <w:jc w:val="both"/>
        <w:rPr>
          <w:rFonts w:ascii="Times New Roman" w:hAnsi="Times New Roman" w:eastAsia="Times New Roman" w:cs="Times New Roman"/>
          <w:color w:val="221E1F"/>
          <w:sz w:val="24"/>
          <w:szCs w:val="24"/>
          <w:lang w:val="en-US"/>
        </w:rPr>
      </w:pPr>
      <w:r>
        <w:rPr>
          <w:rFonts w:ascii="Times New Roman" w:hAnsi="Times New Roman" w:eastAsia="Times New Roman" w:cs="Times New Roman"/>
          <w:color w:val="221E1F"/>
          <w:sz w:val="24"/>
          <w:szCs w:val="24"/>
        </w:rPr>
        <w:t xml:space="preserve">Papel da escola. Violência baseada no gênero. Currículo. </w:t>
      </w:r>
      <w:r>
        <w:rPr>
          <w:rFonts w:ascii="Times New Roman" w:hAnsi="Times New Roman" w:eastAsia="Times New Roman" w:cs="Times New Roman"/>
          <w:color w:val="221E1F"/>
          <w:sz w:val="24"/>
          <w:szCs w:val="24"/>
          <w:lang w:val="en-US"/>
        </w:rPr>
        <w:t xml:space="preserve">Práticas pedagógicas. </w:t>
      </w:r>
    </w:p>
    <w:p w14:paraId="56078EE7">
      <w:pPr>
        <w:spacing w:line="240" w:lineRule="auto"/>
        <w:rPr>
          <w:rFonts w:ascii="Times New Roman" w:hAnsi="Times New Roman" w:eastAsia="Times New Roman" w:cs="Times New Roman"/>
          <w:color w:val="221E1F"/>
          <w:sz w:val="24"/>
          <w:szCs w:val="24"/>
          <w:lang w:val="en-US"/>
        </w:rPr>
      </w:pPr>
      <w:r>
        <w:rPr>
          <w:lang w:val="en-US"/>
        </w:rPr>
        <w:br w:type="page"/>
      </w:r>
    </w:p>
    <w:p w14:paraId="7B021DF0">
      <w:pPr>
        <w:pBdr>
          <w:top w:val="none" w:color="auto" w:sz="0" w:space="0"/>
          <w:left w:val="none" w:color="auto" w:sz="0" w:space="0"/>
          <w:bottom w:val="none" w:color="auto" w:sz="0" w:space="0"/>
          <w:right w:val="none" w:color="auto" w:sz="0" w:space="0"/>
          <w:between w:val="none" w:color="auto" w:sz="0" w:space="0"/>
        </w:pBdr>
        <w:spacing w:line="240" w:lineRule="auto"/>
        <w:jc w:val="both"/>
        <w:rPr>
          <w:rFonts w:ascii="Times New Roman" w:hAnsi="Times New Roman" w:eastAsia="Times New Roman" w:cs="Times New Roman"/>
          <w:b/>
          <w:bCs/>
          <w:color w:val="221E1F"/>
          <w:sz w:val="24"/>
          <w:szCs w:val="24"/>
          <w:lang w:val="en-US"/>
        </w:rPr>
      </w:pPr>
      <w:r>
        <w:rPr>
          <w:rFonts w:ascii="Times New Roman" w:hAnsi="Times New Roman" w:eastAsia="Times New Roman" w:cs="Times New Roman"/>
          <w:b/>
          <w:bCs/>
          <w:color w:val="221E1F"/>
          <w:sz w:val="24"/>
          <w:szCs w:val="24"/>
          <w:lang w:val="en-US"/>
        </w:rPr>
        <w:t>School and the fight against violence against women in Recent Literature (2020-2025).</w:t>
      </w:r>
    </w:p>
    <w:p w14:paraId="1B438137">
      <w:pPr>
        <w:pBdr>
          <w:top w:val="none" w:color="auto" w:sz="0" w:space="0"/>
          <w:left w:val="none" w:color="auto" w:sz="0" w:space="0"/>
          <w:bottom w:val="none" w:color="auto" w:sz="0" w:space="0"/>
          <w:right w:val="none" w:color="auto" w:sz="0" w:space="0"/>
          <w:between w:val="none" w:color="auto" w:sz="0" w:space="0"/>
        </w:pBdr>
        <w:spacing w:line="240" w:lineRule="auto"/>
        <w:jc w:val="both"/>
        <w:rPr>
          <w:rFonts w:ascii="Times New Roman" w:hAnsi="Times New Roman" w:eastAsia="Times New Roman" w:cs="Times New Roman"/>
          <w:color w:val="221E1F"/>
          <w:sz w:val="24"/>
          <w:szCs w:val="24"/>
          <w:lang w:val="en-US"/>
        </w:rPr>
      </w:pPr>
      <w:r>
        <w:rPr>
          <w:rFonts w:ascii="Times New Roman" w:hAnsi="Times New Roman" w:eastAsia="Times New Roman" w:cs="Times New Roman"/>
          <w:b/>
          <w:bCs/>
          <w:color w:val="221E1F"/>
          <w:sz w:val="24"/>
          <w:szCs w:val="24"/>
          <w:lang w:val="en-US"/>
        </w:rPr>
        <w:t>Abstract:</w:t>
      </w:r>
      <w:r>
        <w:rPr>
          <w:rFonts w:ascii="Times New Roman" w:hAnsi="Times New Roman" w:eastAsia="Times New Roman" w:cs="Times New Roman"/>
          <w:color w:val="221E1F"/>
          <w:sz w:val="24"/>
          <w:szCs w:val="24"/>
          <w:lang w:val="en-US"/>
        </w:rPr>
        <w:t xml:space="preserve"> Violence against women is a patriarchal-capitalist structural phenomenon. In this context, schools can actively reproduce misogyny or act as a space for deconstruction. This article aims to analyze what recent academic production (2020-2025) reveals about the role of schools and pedagogical practices in confronting or reproducing this violence. A hybrid methodology was adopted: a systematized review (PRISMA 2020) articulated with content analysis and the Adornian constellation. Searches in the CAPES Portal, Science Direct, SciELO, and Google Scholar generated a corpus of 13 articles. Results indicate a profound school contradiction. The omission in normative documents (such as the BNCC) empties the gender debate and fosters a "pedagogical fear" among teachers facing reactionary contexts, reducing the confrontation to decontextualized actions. The study concludes on the need for "criticality in ambiguity", wherein schools recognize their institutional complicity to act as the social antithesis of society. It advocates for the urgency of politicizing the curriculum through intersectional practices, consolidating education as a space of resistance and emancipation. </w:t>
      </w:r>
    </w:p>
    <w:p w14:paraId="07C0ECBB">
      <w:pPr>
        <w:pBdr>
          <w:top w:val="none" w:color="auto" w:sz="0" w:space="0"/>
          <w:left w:val="none" w:color="auto" w:sz="0" w:space="0"/>
          <w:bottom w:val="none" w:color="auto" w:sz="0" w:space="0"/>
          <w:right w:val="none" w:color="auto" w:sz="0" w:space="0"/>
          <w:between w:val="none" w:color="auto" w:sz="0" w:space="0"/>
        </w:pBdr>
        <w:spacing w:line="240" w:lineRule="auto"/>
        <w:jc w:val="both"/>
        <w:rPr>
          <w:rFonts w:ascii="Times New Roman" w:hAnsi="Times New Roman" w:eastAsia="Times New Roman" w:cs="Times New Roman"/>
          <w:color w:val="221E1F"/>
          <w:sz w:val="24"/>
          <w:szCs w:val="24"/>
          <w:lang w:val="en-US"/>
        </w:rPr>
      </w:pPr>
      <w:r>
        <w:rPr>
          <w:rFonts w:ascii="Times New Roman" w:hAnsi="Times New Roman" w:eastAsia="Times New Roman" w:cs="Times New Roman"/>
          <w:b/>
          <w:bCs/>
          <w:color w:val="221E1F"/>
          <w:sz w:val="24"/>
          <w:szCs w:val="24"/>
          <w:lang w:val="en-US"/>
        </w:rPr>
        <w:t>Keywords:</w:t>
      </w:r>
      <w:r>
        <w:rPr>
          <w:rFonts w:ascii="Times New Roman" w:hAnsi="Times New Roman" w:eastAsia="Times New Roman" w:cs="Times New Roman"/>
          <w:color w:val="221E1F"/>
          <w:sz w:val="24"/>
          <w:szCs w:val="24"/>
          <w:lang w:val="en-US"/>
        </w:rPr>
        <w:t xml:space="preserve"> Curriculum. Pedagogical fear. School. Social antithesis. Violence against women.</w:t>
      </w:r>
    </w:p>
    <w:p w14:paraId="0F467BEE">
      <w:pPr>
        <w:pBdr>
          <w:top w:val="none" w:color="auto" w:sz="0" w:space="0"/>
          <w:left w:val="none" w:color="auto" w:sz="0" w:space="0"/>
          <w:bottom w:val="none" w:color="auto" w:sz="0" w:space="0"/>
          <w:right w:val="none" w:color="auto" w:sz="0" w:space="0"/>
          <w:between w:val="none" w:color="auto" w:sz="0" w:space="0"/>
        </w:pBdr>
        <w:spacing w:line="240" w:lineRule="auto"/>
        <w:jc w:val="both"/>
        <w:rPr>
          <w:rFonts w:ascii="Times New Roman" w:hAnsi="Times New Roman" w:eastAsia="Times New Roman" w:cs="Times New Roman"/>
          <w:color w:val="221E1F"/>
          <w:sz w:val="24"/>
          <w:szCs w:val="24"/>
          <w:lang w:val="en-US"/>
        </w:rPr>
      </w:pPr>
    </w:p>
    <w:p w14:paraId="1E0D2391">
      <w:pPr>
        <w:pBdr>
          <w:top w:val="none" w:color="auto" w:sz="0" w:space="0"/>
          <w:left w:val="none" w:color="auto" w:sz="0" w:space="0"/>
          <w:bottom w:val="none" w:color="auto" w:sz="0" w:space="0"/>
          <w:right w:val="none" w:color="auto" w:sz="0" w:space="0"/>
          <w:between w:val="none" w:color="auto" w:sz="0" w:space="0"/>
        </w:pBdr>
        <w:spacing w:line="240" w:lineRule="auto"/>
        <w:jc w:val="both"/>
        <w:rPr>
          <w:rFonts w:ascii="Times New Roman" w:hAnsi="Times New Roman" w:eastAsia="Times New Roman" w:cs="Times New Roman"/>
          <w:b/>
          <w:bCs/>
          <w:color w:val="221E1F"/>
          <w:sz w:val="24"/>
          <w:szCs w:val="24"/>
          <w:lang w:val="en-US"/>
        </w:rPr>
      </w:pPr>
      <w:r>
        <w:rPr>
          <w:rFonts w:ascii="Times New Roman" w:hAnsi="Times New Roman" w:eastAsia="Times New Roman" w:cs="Times New Roman"/>
          <w:b/>
          <w:bCs/>
          <w:color w:val="221E1F"/>
          <w:sz w:val="24"/>
          <w:szCs w:val="24"/>
          <w:lang w:val="en-US"/>
        </w:rPr>
        <w:t>École et lutte contre la violence à l'égard des femmes dans la Littérature Récente (2020-2025).</w:t>
      </w:r>
    </w:p>
    <w:p w14:paraId="791A3DCD">
      <w:pPr>
        <w:pBdr>
          <w:top w:val="none" w:color="auto" w:sz="0" w:space="0"/>
          <w:left w:val="none" w:color="auto" w:sz="0" w:space="0"/>
          <w:bottom w:val="none" w:color="auto" w:sz="0" w:space="0"/>
          <w:right w:val="none" w:color="auto" w:sz="0" w:space="0"/>
          <w:between w:val="none" w:color="auto" w:sz="0" w:space="0"/>
        </w:pBdr>
        <w:spacing w:line="240" w:lineRule="auto"/>
        <w:jc w:val="both"/>
        <w:rPr>
          <w:rFonts w:ascii="Times New Roman" w:hAnsi="Times New Roman" w:eastAsia="Times New Roman" w:cs="Times New Roman"/>
          <w:color w:val="221E1F"/>
          <w:sz w:val="24"/>
          <w:szCs w:val="24"/>
          <w:lang w:val="en-US"/>
        </w:rPr>
      </w:pPr>
      <w:r>
        <w:rPr>
          <w:rFonts w:ascii="Times New Roman" w:hAnsi="Times New Roman" w:eastAsia="Times New Roman" w:cs="Times New Roman"/>
          <w:b/>
          <w:bCs/>
          <w:color w:val="221E1F"/>
          <w:sz w:val="24"/>
          <w:szCs w:val="24"/>
          <w:lang w:val="en-US"/>
        </w:rPr>
        <w:t>Résumé:</w:t>
      </w:r>
      <w:r>
        <w:rPr>
          <w:rFonts w:ascii="Times New Roman" w:hAnsi="Times New Roman" w:eastAsia="Times New Roman" w:cs="Times New Roman"/>
          <w:color w:val="221E1F"/>
          <w:sz w:val="24"/>
          <w:szCs w:val="24"/>
          <w:lang w:val="en-US"/>
        </w:rPr>
        <w:t xml:space="preserve"> La violence à l'égard des femmes est un phénomène structurel patriarcal et capitaliste. Dans ce contexte, l'école peut reproduire activement cette misogynie ou agir comme un espace de déconstruction. Cet article vise à analyser ce que la production académique (2020-2025) met en évidence concernant le rôle de l'école et de ses pratiques pédagogiques dans la lutte contre ou la reproduction de cette violence. Une méthodologie hybride a été adoptée : une revue systématisée (PRISMA 2020) articulée à l'analyse de contenu et à la constellation adornienne. Les recherches sur le portail CAPES, Science Direct, SciELO et Google Scholar ont généré un corpus de 13 articles. Les résultats indiquent une profonde contradiction scolaire. L'omission dans les documents normatifs (tels que la BNCC) vide le débat sur le genre et nourrit une « peur pédagogique » chez les enseignants face au réactionnarisme, réduisant la lutte à des actions décontextualisées. L'étude conclut à la nécessité d'une « criticité dans l'ambiguïté », où l'école reconnaît sa complicité institutionnelle pour agir comme antithèse sociale de la société. Elle défend l'urgence de politiser le curriculum à travers des pratiques intersectionnelles, consolidant l'éducation comme un espace de résistance et d'émancipation.</w:t>
      </w:r>
    </w:p>
    <w:p w14:paraId="7EC1D04A">
      <w:pPr>
        <w:pBdr>
          <w:top w:val="none" w:color="auto" w:sz="0" w:space="0"/>
          <w:left w:val="none" w:color="auto" w:sz="0" w:space="0"/>
          <w:bottom w:val="none" w:color="auto" w:sz="0" w:space="0"/>
          <w:right w:val="none" w:color="auto" w:sz="0" w:space="0"/>
          <w:between w:val="none" w:color="auto" w:sz="0" w:space="0"/>
        </w:pBdr>
        <w:spacing w:line="240" w:lineRule="auto"/>
        <w:jc w:val="both"/>
        <w:rPr>
          <w:rFonts w:ascii="Times New Roman" w:hAnsi="Times New Roman" w:eastAsia="Times New Roman" w:cs="Times New Roman"/>
          <w:color w:val="221E1F"/>
          <w:sz w:val="24"/>
          <w:szCs w:val="24"/>
          <w:lang w:val="zh-CN"/>
        </w:rPr>
      </w:pPr>
      <w:r>
        <w:rPr>
          <w:rFonts w:ascii="Times New Roman" w:hAnsi="Times New Roman" w:eastAsia="Times New Roman" w:cs="Times New Roman"/>
          <w:b/>
          <w:bCs/>
          <w:color w:val="221E1F"/>
          <w:sz w:val="24"/>
          <w:szCs w:val="24"/>
          <w:lang w:val="zh-CN"/>
        </w:rPr>
        <w:t>Mots-clés:</w:t>
      </w:r>
      <w:r>
        <w:rPr>
          <w:rFonts w:ascii="Times New Roman" w:hAnsi="Times New Roman" w:eastAsia="Times New Roman" w:cs="Times New Roman"/>
          <w:color w:val="221E1F"/>
          <w:sz w:val="24"/>
          <w:szCs w:val="24"/>
          <w:lang w:val="zh-CN"/>
        </w:rPr>
        <w:t xml:space="preserve"> Antithèse sociale. Curriculum. École. Peur pédagogique. Violence faite aux femmes.</w:t>
      </w:r>
    </w:p>
    <w:p w14:paraId="6C609998">
      <w:pPr>
        <w:pBdr>
          <w:top w:val="none" w:color="auto" w:sz="0" w:space="0"/>
          <w:left w:val="none" w:color="auto" w:sz="0" w:space="0"/>
          <w:bottom w:val="none" w:color="auto" w:sz="0" w:space="0"/>
          <w:right w:val="none" w:color="auto" w:sz="0" w:space="0"/>
          <w:between w:val="none" w:color="auto" w:sz="0" w:space="0"/>
        </w:pBdr>
        <w:spacing w:line="240" w:lineRule="auto"/>
        <w:jc w:val="both"/>
        <w:rPr>
          <w:rFonts w:ascii="Times New Roman" w:hAnsi="Times New Roman" w:eastAsia="Times New Roman" w:cs="Times New Roman"/>
          <w:color w:val="221E1F"/>
          <w:sz w:val="24"/>
          <w:szCs w:val="24"/>
          <w:lang w:val="zh-CN"/>
        </w:rPr>
      </w:pPr>
    </w:p>
    <w:p w14:paraId="50F16004">
      <w:pPr>
        <w:pBdr>
          <w:top w:val="none" w:color="auto" w:sz="0" w:space="0"/>
          <w:left w:val="none" w:color="auto" w:sz="0" w:space="0"/>
          <w:bottom w:val="none" w:color="auto" w:sz="0" w:space="0"/>
          <w:right w:val="none" w:color="auto" w:sz="0" w:space="0"/>
          <w:between w:val="none" w:color="auto" w:sz="0" w:space="0"/>
        </w:pBdr>
        <w:spacing w:line="240" w:lineRule="auto"/>
        <w:jc w:val="both"/>
        <w:rPr>
          <w:rFonts w:ascii="Times New Roman" w:hAnsi="Times New Roman" w:eastAsia="Times New Roman" w:cs="Times New Roman"/>
          <w:b/>
          <w:bCs/>
          <w:color w:val="221E1F"/>
          <w:sz w:val="24"/>
          <w:szCs w:val="24"/>
          <w:lang w:val="zh-CN"/>
        </w:rPr>
      </w:pPr>
      <w:r>
        <w:rPr>
          <w:rFonts w:ascii="Times New Roman" w:hAnsi="Times New Roman" w:eastAsia="Times New Roman" w:cs="Times New Roman"/>
          <w:b/>
          <w:bCs/>
          <w:color w:val="221E1F"/>
          <w:sz w:val="24"/>
          <w:szCs w:val="24"/>
          <w:lang w:val="zh-CN"/>
        </w:rPr>
        <w:t>Escuela y combate a la violencia contra las mujeres en la Literatura Reciente (2020-2025).</w:t>
      </w:r>
    </w:p>
    <w:p w14:paraId="56FD66C6">
      <w:pPr>
        <w:pBdr>
          <w:top w:val="none" w:color="auto" w:sz="0" w:space="0"/>
          <w:left w:val="none" w:color="auto" w:sz="0" w:space="0"/>
          <w:bottom w:val="none" w:color="auto" w:sz="0" w:space="0"/>
          <w:right w:val="none" w:color="auto" w:sz="0" w:space="0"/>
          <w:between w:val="none" w:color="auto" w:sz="0" w:space="0"/>
        </w:pBdr>
        <w:spacing w:line="240" w:lineRule="auto"/>
        <w:jc w:val="both"/>
        <w:rPr>
          <w:rFonts w:ascii="Times New Roman" w:hAnsi="Times New Roman" w:eastAsia="Times New Roman" w:cs="Times New Roman"/>
          <w:color w:val="221E1F"/>
          <w:sz w:val="24"/>
          <w:szCs w:val="24"/>
          <w:lang w:val="zh-CN"/>
        </w:rPr>
      </w:pPr>
      <w:r>
        <w:rPr>
          <w:rFonts w:ascii="Times New Roman" w:hAnsi="Times New Roman" w:eastAsia="Times New Roman" w:cs="Times New Roman"/>
          <w:b/>
          <w:bCs/>
          <w:color w:val="221E1F"/>
          <w:sz w:val="24"/>
          <w:szCs w:val="24"/>
          <w:lang w:val="zh-CN"/>
        </w:rPr>
        <w:t>Resumen:</w:t>
      </w:r>
      <w:r>
        <w:rPr>
          <w:rFonts w:ascii="Times New Roman" w:hAnsi="Times New Roman" w:eastAsia="Times New Roman" w:cs="Times New Roman"/>
          <w:color w:val="221E1F"/>
          <w:sz w:val="24"/>
          <w:szCs w:val="24"/>
          <w:lang w:val="zh-CN"/>
        </w:rPr>
        <w:t xml:space="preserve"> La violencia contra las mujeres es un fenómeno estructural patriarcal-capitalista. En este contexto, la escuela puede reproducir activamente esta misoginia o actuar como espacio de deconstrucción. El artículo tiene como objetivo analizar lo que la producción académica (2020-2025) evidencia sobre el papel de la escuela y de sus prácticas pedagógicas en el enfrentamiento o la reproducción de esta violencia. Se adoptó una metodología híbrida: revisión sistematizada (PRISMA 2020) articulada al análisis de contenido y a la constelación adorniana. Las búsquedas en el Portal CAPES, Science Direct, SciELO y Google Scholar generaron un corpus de 13 artículos. Los resultados indican una profunda contradicción escolar. La omisión de documentos normativos (como la BNCC) vacía el debate de género y fomenta un "miedo pedagógico" docente frente al reaccionarismo, reduciendo el enfrentamiento a acciones descontextualizadas. Se concluye en la necesidad de una "criticidad en la ambigüedad", en la cual la escuela reconoce su complicidad institucional para actuar como antítesis social de la sociedad. Se defiende la urgencia de politizar el currículo mediante prácticas interseccionales, consolidando la educación como espacio de resistencia y emancipación.</w:t>
      </w:r>
    </w:p>
    <w:p w14:paraId="525C944B">
      <w:pPr>
        <w:pBdr>
          <w:top w:val="none" w:color="auto" w:sz="0" w:space="0"/>
          <w:left w:val="none" w:color="auto" w:sz="0" w:space="0"/>
          <w:bottom w:val="none" w:color="auto" w:sz="0" w:space="0"/>
          <w:right w:val="none" w:color="auto" w:sz="0" w:space="0"/>
          <w:between w:val="none" w:color="auto" w:sz="0" w:space="0"/>
        </w:pBdr>
        <w:spacing w:line="240" w:lineRule="auto"/>
        <w:jc w:val="both"/>
        <w:rPr>
          <w:rFonts w:ascii="Times New Roman" w:hAnsi="Times New Roman" w:eastAsia="Times New Roman" w:cs="Times New Roman"/>
          <w:color w:val="221E1F"/>
          <w:sz w:val="24"/>
          <w:szCs w:val="24"/>
          <w:lang w:val="zh-CN"/>
        </w:rPr>
      </w:pPr>
      <w:r>
        <w:rPr>
          <w:rFonts w:ascii="Times New Roman" w:hAnsi="Times New Roman" w:eastAsia="Times New Roman" w:cs="Times New Roman"/>
          <w:b/>
          <w:bCs/>
          <w:color w:val="221E1F"/>
          <w:sz w:val="24"/>
          <w:szCs w:val="24"/>
          <w:lang w:val="zh-CN"/>
        </w:rPr>
        <w:t>Palabras clave:</w:t>
      </w:r>
      <w:r>
        <w:rPr>
          <w:rFonts w:ascii="Times New Roman" w:hAnsi="Times New Roman" w:eastAsia="Times New Roman" w:cs="Times New Roman"/>
          <w:color w:val="221E1F"/>
          <w:sz w:val="24"/>
          <w:szCs w:val="24"/>
          <w:lang w:val="zh-CN"/>
        </w:rPr>
        <w:t xml:space="preserve"> Antítesis social. Currículo. Escuela. Miedo pedagógico. Violencia contra las mujeres.</w:t>
      </w:r>
    </w:p>
    <w:p w14:paraId="3457F0DC">
      <w:pPr>
        <w:rPr>
          <w:rFonts w:ascii="Times New Roman" w:hAnsi="Times New Roman" w:eastAsia="Times New Roman" w:cs="Times New Roman"/>
          <w:b/>
          <w:bCs/>
          <w:color w:val="221E1F"/>
          <w:sz w:val="24"/>
          <w:szCs w:val="24"/>
        </w:rPr>
      </w:pPr>
    </w:p>
    <w:p w14:paraId="48D11F8E">
      <w:pPr>
        <w:rPr>
          <w:rFonts w:ascii="Times New Roman" w:hAnsi="Times New Roman" w:eastAsia="Times New Roman" w:cs="Times New Roman"/>
          <w:b/>
          <w:bCs/>
          <w:color w:val="221E1F"/>
          <w:sz w:val="24"/>
          <w:szCs w:val="24"/>
        </w:rPr>
      </w:pPr>
    </w:p>
    <w:p w14:paraId="7684E8C8">
      <w:pPr>
        <w:rPr>
          <w:rFonts w:ascii="Times New Roman" w:hAnsi="Times New Roman" w:eastAsia="Times New Roman" w:cs="Times New Roman"/>
          <w:b/>
          <w:bCs/>
          <w:color w:val="221E1F"/>
          <w:sz w:val="24"/>
          <w:szCs w:val="24"/>
        </w:rPr>
      </w:pPr>
      <w:r>
        <w:rPr>
          <w:rFonts w:ascii="Times New Roman" w:hAnsi="Times New Roman" w:eastAsia="Times New Roman" w:cs="Times New Roman"/>
          <w:b/>
          <w:bCs/>
          <w:color w:val="221E1F"/>
          <w:sz w:val="24"/>
          <w:szCs w:val="24"/>
        </w:rPr>
        <w:t>INTRODUÇÃO</w:t>
      </w:r>
    </w:p>
    <w:p w14:paraId="7659B4FE">
      <w:pPr>
        <w:pBdr>
          <w:top w:val="none" w:color="auto" w:sz="0" w:space="0"/>
          <w:left w:val="none" w:color="auto" w:sz="0" w:space="0"/>
          <w:bottom w:val="none" w:color="auto" w:sz="0" w:space="0"/>
          <w:right w:val="none" w:color="auto" w:sz="0" w:space="0"/>
          <w:between w:val="none" w:color="auto" w:sz="0" w:space="0"/>
        </w:pBdr>
        <w:spacing w:after="0" w:line="360" w:lineRule="auto"/>
        <w:ind w:firstLine="278"/>
        <w:jc w:val="both"/>
        <w:rPr>
          <w:rFonts w:ascii="Times New Roman" w:hAnsi="Times New Roman" w:eastAsia="Times New Roman" w:cs="Times New Roman"/>
          <w:color w:val="221E1F"/>
          <w:sz w:val="24"/>
          <w:szCs w:val="24"/>
        </w:rPr>
      </w:pPr>
      <w:r>
        <w:rPr>
          <w:rFonts w:ascii="Times New Roman" w:hAnsi="Times New Roman" w:eastAsia="Times New Roman" w:cs="Times New Roman"/>
          <w:color w:val="221E1F"/>
          <w:sz w:val="24"/>
          <w:szCs w:val="24"/>
        </w:rPr>
        <w:t>A violência contra as mulheres se constitui como um fenômeno complexo, estrutural e multifatorial, profundamente enraizado na ordem patriarcal capitalista e nas históricas desigualdades de poder entre os gêneros. Longe de se resumir a incidentes isolados, essa violência perpassa as instituições e as relações sociais cotidianas, operando de forma interseccional e atingindo de maneira ainda mais severa mulheres atravessadas por marcadores de raça, classe e deficiência (Collins &amp; Bilge, 2020; Peres &amp; Silva, 2022). Como consequência dessa estrutura, os índices de violência de gênero permanecem alarmantes, exigindo atitudes institucionais que superem as ações punitivas ou de cunho compensatório.</w:t>
      </w:r>
    </w:p>
    <w:p w14:paraId="01FCADE7">
      <w:pPr>
        <w:pBdr>
          <w:top w:val="none" w:color="auto" w:sz="0" w:space="0"/>
          <w:left w:val="none" w:color="auto" w:sz="0" w:space="0"/>
          <w:bottom w:val="none" w:color="auto" w:sz="0" w:space="0"/>
          <w:right w:val="none" w:color="auto" w:sz="0" w:space="0"/>
          <w:between w:val="none" w:color="auto" w:sz="0" w:space="0"/>
        </w:pBdr>
        <w:spacing w:after="0" w:line="360" w:lineRule="auto"/>
        <w:ind w:firstLine="278"/>
        <w:jc w:val="both"/>
        <w:rPr>
          <w:rFonts w:ascii="Times New Roman" w:hAnsi="Times New Roman" w:eastAsia="Times New Roman" w:cs="Times New Roman"/>
          <w:color w:val="221E1F"/>
          <w:sz w:val="24"/>
          <w:szCs w:val="24"/>
        </w:rPr>
      </w:pPr>
      <w:r>
        <w:rPr>
          <w:rFonts w:ascii="Times New Roman" w:hAnsi="Times New Roman" w:eastAsia="Times New Roman" w:cs="Times New Roman"/>
          <w:color w:val="221E1F"/>
          <w:sz w:val="24"/>
          <w:szCs w:val="24"/>
        </w:rPr>
        <w:t>Nesse contexto, a escola desponta como um ambiente central. Sendo o principal espaço de socialização secundária e de formação cidadã, a instituição escolar possui um duplo potencial: ela pode atuar como um espelho que concentra e reproduz os comportamentos misóginos já estabelecidos socialmente (seja pela inação ou por ações próprias ao ensino e a prática pedagógica que possam indiretamente reforçar estes comportamentos) ou pode assumir o papel de antítese social, desnaturalizando a barbárie por meio da reflexão crítica e do reconhecimento do outro (Marciano &amp; Richartz, 2024; Rodrigues et al., 2022). É por meio da educação e das práticas pedagógicas cotidianas que se torna possível promover o enfrentamento e a desconstrução dos estereótipos que sustentam a hierarquização e a subjugação dos corpos feminizados.</w:t>
      </w:r>
    </w:p>
    <w:p w14:paraId="3097490C">
      <w:pPr>
        <w:pBdr>
          <w:top w:val="none" w:color="auto" w:sz="0" w:space="0"/>
          <w:left w:val="none" w:color="auto" w:sz="0" w:space="0"/>
          <w:bottom w:val="none" w:color="auto" w:sz="0" w:space="0"/>
          <w:right w:val="none" w:color="auto" w:sz="0" w:space="0"/>
          <w:between w:val="none" w:color="auto" w:sz="0" w:space="0"/>
        </w:pBdr>
        <w:spacing w:after="0" w:line="360" w:lineRule="auto"/>
        <w:ind w:firstLine="278"/>
        <w:jc w:val="both"/>
        <w:rPr>
          <w:rFonts w:ascii="Times New Roman" w:hAnsi="Times New Roman" w:eastAsia="Times New Roman" w:cs="Times New Roman"/>
          <w:color w:val="221E1F"/>
          <w:sz w:val="24"/>
          <w:szCs w:val="24"/>
        </w:rPr>
      </w:pPr>
      <w:r>
        <w:rPr>
          <w:rFonts w:ascii="Times New Roman" w:hAnsi="Times New Roman" w:eastAsia="Times New Roman" w:cs="Times New Roman"/>
          <w:color w:val="221E1F"/>
          <w:sz w:val="24"/>
          <w:szCs w:val="24"/>
        </w:rPr>
        <w:t>Contudo, a efetivação da escola como espaço de enfrentamento esbarra em contradições profundas e barreiras sistêmicas. Há uma evidente omissão nos documentos oficiais contemporâneos, a exemplo, no Brasil, da Base Nacional Comum Curricular (BNCC), que dilui e esvazia o debate estrutural sobre as relações de gênero (Hoffmann et al., 2022). Essa invisibilização institucional, somada ao receio dos educadores (plenamente justificável em um ambiente de avanço do reacionarismo, de sucateamento e de ataques diários aos profissionais da educação, principalmente aos professores), produz o que se compreende como um "medo pedagógico". Consequentemente, o debate crítico é frequentemente substituído por práticas descontextualizadas ou restritas a datas comemorativas, o que reforça, silenciosamente, a cumplicidade institucional com a violência que deveria combater.</w:t>
      </w:r>
    </w:p>
    <w:p w14:paraId="68F9681A">
      <w:pPr>
        <w:pBdr>
          <w:top w:val="none" w:color="auto" w:sz="0" w:space="0"/>
          <w:left w:val="none" w:color="auto" w:sz="0" w:space="0"/>
          <w:bottom w:val="none" w:color="auto" w:sz="0" w:space="0"/>
          <w:right w:val="none" w:color="auto" w:sz="0" w:space="0"/>
          <w:between w:val="none" w:color="auto" w:sz="0" w:space="0"/>
        </w:pBdr>
        <w:spacing w:after="260" w:line="360" w:lineRule="auto"/>
        <w:ind w:firstLine="278"/>
        <w:jc w:val="both"/>
        <w:rPr>
          <w:rFonts w:ascii="Times New Roman" w:hAnsi="Times New Roman" w:eastAsia="Times New Roman" w:cs="Times New Roman"/>
          <w:color w:val="221E1F"/>
          <w:sz w:val="24"/>
          <w:szCs w:val="24"/>
        </w:rPr>
      </w:pPr>
      <w:r>
        <w:rPr>
          <w:rFonts w:ascii="Times New Roman" w:hAnsi="Times New Roman" w:eastAsia="Times New Roman" w:cs="Times New Roman"/>
          <w:color w:val="221E1F"/>
          <w:sz w:val="24"/>
          <w:szCs w:val="24"/>
        </w:rPr>
        <w:t>Diante desse cenário de tensões entre a potência crítico-emancipatória da educação e as amarras curriculares e políticas das sociedades em seu momento atual, torna-se urgente compreender como o ambiente escolar tem lidado com essa realidade. Para isso, a presente pesquisa é norteada pelo seguinte problema: o que a produção acadêmica recente tem evidenciado sobre o papel da escola e de suas práticas pedagógicas na reprodução ou no enfrentamento da violência estrutural contra as mulheres?</w:t>
      </w:r>
    </w:p>
    <w:p w14:paraId="18836EDF">
      <w:pPr>
        <w:pBdr>
          <w:top w:val="none" w:color="auto" w:sz="0" w:space="0"/>
          <w:left w:val="none" w:color="auto" w:sz="0" w:space="0"/>
          <w:bottom w:val="none" w:color="auto" w:sz="0" w:space="0"/>
          <w:right w:val="none" w:color="auto" w:sz="0" w:space="0"/>
          <w:between w:val="none" w:color="auto" w:sz="0" w:space="0"/>
        </w:pBdr>
        <w:spacing w:before="260" w:after="260" w:line="240" w:lineRule="auto"/>
        <w:jc w:val="both"/>
        <w:rPr>
          <w:rFonts w:ascii="Times New Roman" w:hAnsi="Times New Roman" w:eastAsia="Times New Roman" w:cs="Times New Roman"/>
          <w:b/>
          <w:bCs/>
          <w:color w:val="221E1F"/>
          <w:sz w:val="24"/>
          <w:szCs w:val="24"/>
        </w:rPr>
      </w:pPr>
      <w:r>
        <w:rPr>
          <w:rFonts w:ascii="Times New Roman" w:hAnsi="Times New Roman" w:eastAsia="Times New Roman" w:cs="Times New Roman"/>
          <w:b/>
          <w:bCs/>
          <w:color w:val="221E1F"/>
          <w:sz w:val="24"/>
          <w:szCs w:val="24"/>
        </w:rPr>
        <w:t>METODOLOGIA</w:t>
      </w:r>
    </w:p>
    <w:p w14:paraId="6ABD7E5D">
      <w:pPr>
        <w:pBdr>
          <w:top w:val="none" w:color="auto" w:sz="0" w:space="0"/>
          <w:left w:val="none" w:color="auto" w:sz="0" w:space="0"/>
          <w:bottom w:val="none" w:color="auto" w:sz="0" w:space="0"/>
          <w:right w:val="none" w:color="auto" w:sz="0" w:space="0"/>
          <w:between w:val="none" w:color="auto" w:sz="0" w:space="0"/>
        </w:pBdr>
        <w:spacing w:line="360" w:lineRule="auto"/>
        <w:ind w:firstLine="278"/>
        <w:jc w:val="both"/>
        <w:rPr>
          <w:rFonts w:ascii="Times New Roman" w:hAnsi="Times New Roman" w:eastAsia="Times New Roman" w:cs="Times New Roman"/>
          <w:color w:val="221E1F"/>
          <w:sz w:val="24"/>
          <w:szCs w:val="24"/>
        </w:rPr>
      </w:pPr>
      <w:r>
        <w:rPr>
          <w:rFonts w:ascii="Times New Roman" w:hAnsi="Times New Roman" w:eastAsia="Times New Roman" w:cs="Times New Roman"/>
          <w:color w:val="221E1F"/>
          <w:sz w:val="24"/>
          <w:szCs w:val="24"/>
        </w:rPr>
        <w:t>Para a construção deste artigo, adotamos uma estratégia metodológica híbrida, articulando as diretrizes da revisão sistematizada de literatura orientada pelo checklist PRISMA 2020 (Page et al., 2021) na sequência:</w:t>
      </w:r>
    </w:p>
    <w:p w14:paraId="261BAD51">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rPr>
      </w:pPr>
      <w:r>
        <w:rPr>
          <w:rFonts w:ascii="Times New Roman" w:hAnsi="Times New Roman" w:eastAsia="Times New Roman" w:cs="Times New Roman"/>
          <w:b/>
          <w:bCs/>
          <w:color w:val="221E1F"/>
        </w:rPr>
        <w:t>Tabela 1.</w:t>
      </w:r>
      <w:r>
        <w:rPr>
          <w:rFonts w:ascii="Times New Roman" w:hAnsi="Times New Roman" w:eastAsia="Times New Roman" w:cs="Times New Roman"/>
          <w:color w:val="221E1F"/>
        </w:rPr>
        <w:t xml:space="preserve"> Prisma 2020 Checklist</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3"/>
        <w:gridCol w:w="684"/>
        <w:gridCol w:w="6093"/>
      </w:tblGrid>
      <w:tr w14:paraId="3FD0B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 w:hRule="atLeast"/>
        </w:trPr>
        <w:tc>
          <w:tcPr>
            <w:tcW w:w="0" w:type="auto"/>
          </w:tcPr>
          <w:p w14:paraId="2A9715FF">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b/>
                <w:bCs/>
                <w:color w:val="221E1F"/>
                <w:lang w:val="en-CA"/>
              </w:rPr>
              <w:t xml:space="preserve">Section and Topic </w:t>
            </w:r>
          </w:p>
        </w:tc>
        <w:tc>
          <w:tcPr>
            <w:tcW w:w="0" w:type="auto"/>
          </w:tcPr>
          <w:p w14:paraId="0133A8CA">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b/>
                <w:bCs/>
                <w:color w:val="221E1F"/>
                <w:lang w:val="en-CA"/>
              </w:rPr>
            </w:pPr>
            <w:r>
              <w:rPr>
                <w:rFonts w:ascii="Times New Roman" w:hAnsi="Times New Roman" w:eastAsia="Times New Roman" w:cs="Times New Roman"/>
                <w:b/>
                <w:bCs/>
                <w:color w:val="221E1F"/>
                <w:lang w:val="en-CA"/>
              </w:rPr>
              <w:t>Item #</w:t>
            </w:r>
          </w:p>
        </w:tc>
        <w:tc>
          <w:tcPr>
            <w:tcW w:w="0" w:type="auto"/>
          </w:tcPr>
          <w:p w14:paraId="35DEF5FF">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b/>
                <w:bCs/>
                <w:color w:val="221E1F"/>
                <w:lang w:val="en-CA"/>
              </w:rPr>
              <w:t xml:space="preserve">Checklist item </w:t>
            </w:r>
          </w:p>
        </w:tc>
      </w:tr>
      <w:tr w14:paraId="69A95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 w:hRule="atLeast"/>
        </w:trPr>
        <w:tc>
          <w:tcPr>
            <w:tcW w:w="0" w:type="auto"/>
            <w:gridSpan w:val="3"/>
          </w:tcPr>
          <w:p w14:paraId="45067EB6">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b/>
                <w:bCs/>
                <w:color w:val="221E1F"/>
                <w:lang w:val="en-CA"/>
              </w:rPr>
              <w:t xml:space="preserve">TITLE </w:t>
            </w:r>
          </w:p>
        </w:tc>
      </w:tr>
      <w:tr w14:paraId="44FB7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tcPr>
          <w:p w14:paraId="20F8BECB">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 xml:space="preserve">Title </w:t>
            </w:r>
          </w:p>
        </w:tc>
        <w:tc>
          <w:tcPr>
            <w:tcW w:w="0" w:type="auto"/>
          </w:tcPr>
          <w:p w14:paraId="01BC2E4B">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1</w:t>
            </w:r>
          </w:p>
        </w:tc>
        <w:tc>
          <w:tcPr>
            <w:tcW w:w="0" w:type="auto"/>
          </w:tcPr>
          <w:p w14:paraId="2B489DBB">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Identify the report as a systematic review.</w:t>
            </w:r>
          </w:p>
        </w:tc>
      </w:tr>
      <w:tr w14:paraId="1960F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 w:hRule="atLeast"/>
        </w:trPr>
        <w:tc>
          <w:tcPr>
            <w:tcW w:w="0" w:type="auto"/>
            <w:gridSpan w:val="3"/>
          </w:tcPr>
          <w:p w14:paraId="7F00E52D">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b/>
                <w:bCs/>
                <w:color w:val="221E1F"/>
                <w:lang w:val="en-CA"/>
              </w:rPr>
              <w:t xml:space="preserve">ABSTRACT </w:t>
            </w:r>
          </w:p>
        </w:tc>
      </w:tr>
      <w:tr w14:paraId="38ABA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tcPr>
          <w:p w14:paraId="38AC93CD">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 xml:space="preserve">Abstract </w:t>
            </w:r>
          </w:p>
        </w:tc>
        <w:tc>
          <w:tcPr>
            <w:tcW w:w="0" w:type="auto"/>
          </w:tcPr>
          <w:p w14:paraId="4FAEF2DE">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2</w:t>
            </w:r>
          </w:p>
        </w:tc>
        <w:tc>
          <w:tcPr>
            <w:tcW w:w="0" w:type="auto"/>
          </w:tcPr>
          <w:p w14:paraId="05A80EDC">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See the PRISMA 2020 for Abstracts checklist.</w:t>
            </w:r>
          </w:p>
        </w:tc>
      </w:tr>
      <w:tr w14:paraId="0C11D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 w:hRule="atLeast"/>
        </w:trPr>
        <w:tc>
          <w:tcPr>
            <w:tcW w:w="0" w:type="auto"/>
            <w:gridSpan w:val="3"/>
          </w:tcPr>
          <w:p w14:paraId="2C74AF47">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b/>
                <w:bCs/>
                <w:color w:val="221E1F"/>
                <w:lang w:val="en-CA"/>
              </w:rPr>
              <w:t xml:space="preserve">INTRODUCTION </w:t>
            </w:r>
          </w:p>
        </w:tc>
      </w:tr>
      <w:tr w14:paraId="17E1F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tcPr>
          <w:p w14:paraId="22F63995">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 xml:space="preserve">Rationale </w:t>
            </w:r>
          </w:p>
        </w:tc>
        <w:tc>
          <w:tcPr>
            <w:tcW w:w="0" w:type="auto"/>
          </w:tcPr>
          <w:p w14:paraId="5B0BDD1F">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3</w:t>
            </w:r>
          </w:p>
        </w:tc>
        <w:tc>
          <w:tcPr>
            <w:tcW w:w="0" w:type="auto"/>
          </w:tcPr>
          <w:p w14:paraId="712EDFDA">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Describe the rationale for the review in the context of existing knowledge.</w:t>
            </w:r>
          </w:p>
        </w:tc>
      </w:tr>
      <w:tr w14:paraId="04560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tcPr>
          <w:p w14:paraId="535BA441">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 xml:space="preserve">Objectives </w:t>
            </w:r>
          </w:p>
        </w:tc>
        <w:tc>
          <w:tcPr>
            <w:tcW w:w="0" w:type="auto"/>
          </w:tcPr>
          <w:p w14:paraId="7DB93BC9">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4</w:t>
            </w:r>
          </w:p>
        </w:tc>
        <w:tc>
          <w:tcPr>
            <w:tcW w:w="0" w:type="auto"/>
          </w:tcPr>
          <w:p w14:paraId="4637769F">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Provide an explicit statement of the objective(s) or question(s) the review addresses.</w:t>
            </w:r>
          </w:p>
        </w:tc>
      </w:tr>
      <w:tr w14:paraId="39262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 w:hRule="atLeast"/>
        </w:trPr>
        <w:tc>
          <w:tcPr>
            <w:tcW w:w="0" w:type="auto"/>
            <w:gridSpan w:val="3"/>
          </w:tcPr>
          <w:p w14:paraId="7273DAD7">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b/>
                <w:bCs/>
                <w:color w:val="221E1F"/>
                <w:lang w:val="en-CA"/>
              </w:rPr>
              <w:t xml:space="preserve">METHODS </w:t>
            </w:r>
          </w:p>
        </w:tc>
      </w:tr>
      <w:tr w14:paraId="5A163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tcPr>
          <w:p w14:paraId="07E2CB29">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 xml:space="preserve">Eligibility criteria </w:t>
            </w:r>
          </w:p>
        </w:tc>
        <w:tc>
          <w:tcPr>
            <w:tcW w:w="0" w:type="auto"/>
          </w:tcPr>
          <w:p w14:paraId="2298A84E">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5</w:t>
            </w:r>
          </w:p>
        </w:tc>
        <w:tc>
          <w:tcPr>
            <w:tcW w:w="0" w:type="auto"/>
          </w:tcPr>
          <w:p w14:paraId="557D8BF4">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Specify the inclusion and exclusion criteria for the review and how studies were grouped for the syntheses.</w:t>
            </w:r>
          </w:p>
        </w:tc>
      </w:tr>
      <w:tr w14:paraId="12C3F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1" w:hRule="atLeast"/>
        </w:trPr>
        <w:tc>
          <w:tcPr>
            <w:tcW w:w="0" w:type="auto"/>
          </w:tcPr>
          <w:p w14:paraId="212D3DA7">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 xml:space="preserve">Information sources </w:t>
            </w:r>
          </w:p>
        </w:tc>
        <w:tc>
          <w:tcPr>
            <w:tcW w:w="0" w:type="auto"/>
          </w:tcPr>
          <w:p w14:paraId="5FA2ECCF">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6</w:t>
            </w:r>
          </w:p>
        </w:tc>
        <w:tc>
          <w:tcPr>
            <w:tcW w:w="0" w:type="auto"/>
          </w:tcPr>
          <w:p w14:paraId="0863A36F">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Specify all databases, registers, websites, organisations, reference lists and other sources searched or consulted to identify studies. Specify the date when each source was last searched or consulted.</w:t>
            </w:r>
          </w:p>
        </w:tc>
      </w:tr>
      <w:tr w14:paraId="4370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tcPr>
          <w:p w14:paraId="03E02996">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Search strategy</w:t>
            </w:r>
          </w:p>
        </w:tc>
        <w:tc>
          <w:tcPr>
            <w:tcW w:w="0" w:type="auto"/>
          </w:tcPr>
          <w:p w14:paraId="49A8010F">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7</w:t>
            </w:r>
          </w:p>
        </w:tc>
        <w:tc>
          <w:tcPr>
            <w:tcW w:w="0" w:type="auto"/>
          </w:tcPr>
          <w:p w14:paraId="4D3D84AD">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Present the full search strategies for all databases, registers and websites, including any filters and limits used.</w:t>
            </w:r>
          </w:p>
        </w:tc>
      </w:tr>
      <w:tr w14:paraId="723D6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tcPr>
          <w:p w14:paraId="4D0481FA">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Selection process</w:t>
            </w:r>
          </w:p>
        </w:tc>
        <w:tc>
          <w:tcPr>
            <w:tcW w:w="0" w:type="auto"/>
          </w:tcPr>
          <w:p w14:paraId="40FB2DF6">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8</w:t>
            </w:r>
          </w:p>
        </w:tc>
        <w:tc>
          <w:tcPr>
            <w:tcW w:w="0" w:type="auto"/>
          </w:tcPr>
          <w:p w14:paraId="7F1EFD8C">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r>
      <w:tr w14:paraId="3B29A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2" w:hRule="atLeast"/>
        </w:trPr>
        <w:tc>
          <w:tcPr>
            <w:tcW w:w="0" w:type="auto"/>
          </w:tcPr>
          <w:p w14:paraId="38E9D205">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 xml:space="preserve">Data collection process </w:t>
            </w:r>
          </w:p>
        </w:tc>
        <w:tc>
          <w:tcPr>
            <w:tcW w:w="0" w:type="auto"/>
          </w:tcPr>
          <w:p w14:paraId="7D2ACBFA">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9</w:t>
            </w:r>
          </w:p>
        </w:tc>
        <w:tc>
          <w:tcPr>
            <w:tcW w:w="0" w:type="auto"/>
          </w:tcPr>
          <w:p w14:paraId="6DE01E91">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r>
      <w:tr w14:paraId="7F65C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vMerge w:val="restart"/>
          </w:tcPr>
          <w:p w14:paraId="48F69DE7">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 xml:space="preserve">Data items </w:t>
            </w:r>
          </w:p>
        </w:tc>
        <w:tc>
          <w:tcPr>
            <w:tcW w:w="0" w:type="auto"/>
          </w:tcPr>
          <w:p w14:paraId="38148B66">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10a</w:t>
            </w:r>
          </w:p>
        </w:tc>
        <w:tc>
          <w:tcPr>
            <w:tcW w:w="0" w:type="auto"/>
          </w:tcPr>
          <w:p w14:paraId="073491CA">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r>
      <w:tr w14:paraId="361F9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vMerge w:val="continue"/>
          </w:tcPr>
          <w:p w14:paraId="7F56F179">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p>
        </w:tc>
        <w:tc>
          <w:tcPr>
            <w:tcW w:w="0" w:type="auto"/>
          </w:tcPr>
          <w:p w14:paraId="457ABD65">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10b</w:t>
            </w:r>
          </w:p>
        </w:tc>
        <w:tc>
          <w:tcPr>
            <w:tcW w:w="0" w:type="auto"/>
          </w:tcPr>
          <w:p w14:paraId="10C0B113">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List and define all other variables for which data were sought (e.g. participant and intervention characteristics, funding sources). Describe any assumptions made about any missing or unclear information.</w:t>
            </w:r>
          </w:p>
        </w:tc>
      </w:tr>
      <w:tr w14:paraId="4E874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tcPr>
          <w:p w14:paraId="7642F67B">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Study risk of bias assessment</w:t>
            </w:r>
          </w:p>
        </w:tc>
        <w:tc>
          <w:tcPr>
            <w:tcW w:w="0" w:type="auto"/>
          </w:tcPr>
          <w:p w14:paraId="01F6B98F">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11</w:t>
            </w:r>
          </w:p>
        </w:tc>
        <w:tc>
          <w:tcPr>
            <w:tcW w:w="0" w:type="auto"/>
          </w:tcPr>
          <w:p w14:paraId="71395393">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Specify the methods used to assess risk of bias in the included studies, including details of the tool(s) used, how many reviewers assessed each study and whether they worked independently, and if applicable, details of automation tools used in the process.</w:t>
            </w:r>
          </w:p>
        </w:tc>
      </w:tr>
      <w:tr w14:paraId="7784B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tcPr>
          <w:p w14:paraId="35C98431">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 xml:space="preserve">Effect measures </w:t>
            </w:r>
          </w:p>
        </w:tc>
        <w:tc>
          <w:tcPr>
            <w:tcW w:w="0" w:type="auto"/>
          </w:tcPr>
          <w:p w14:paraId="0EE126FE">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12</w:t>
            </w:r>
          </w:p>
        </w:tc>
        <w:tc>
          <w:tcPr>
            <w:tcW w:w="0" w:type="auto"/>
          </w:tcPr>
          <w:p w14:paraId="6EA193EB">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Specify for each outcome the effect measure(s) (e.g. risk ratio, mean difference) used in the synthesis or presentation of results.</w:t>
            </w:r>
          </w:p>
        </w:tc>
      </w:tr>
      <w:tr w14:paraId="38F0D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vMerge w:val="restart"/>
          </w:tcPr>
          <w:p w14:paraId="3A1B0A1A">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Synthesis methods</w:t>
            </w:r>
          </w:p>
        </w:tc>
        <w:tc>
          <w:tcPr>
            <w:tcW w:w="0" w:type="auto"/>
          </w:tcPr>
          <w:p w14:paraId="3A5F5C31">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13a</w:t>
            </w:r>
          </w:p>
        </w:tc>
        <w:tc>
          <w:tcPr>
            <w:tcW w:w="0" w:type="auto"/>
          </w:tcPr>
          <w:p w14:paraId="776087FC">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Describe the processes used to decide which studies were eligible for each synthesis (e.g. tabulating the study intervention characteristics and comparing against the planned groups for each synthesis (item #5)).</w:t>
            </w:r>
          </w:p>
        </w:tc>
      </w:tr>
      <w:tr w14:paraId="1736C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vMerge w:val="continue"/>
          </w:tcPr>
          <w:p w14:paraId="0B40C514">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p>
        </w:tc>
        <w:tc>
          <w:tcPr>
            <w:tcW w:w="0" w:type="auto"/>
          </w:tcPr>
          <w:p w14:paraId="4ED545D7">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13b</w:t>
            </w:r>
          </w:p>
        </w:tc>
        <w:tc>
          <w:tcPr>
            <w:tcW w:w="0" w:type="auto"/>
          </w:tcPr>
          <w:p w14:paraId="66E51E12">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Describe any methods required to prepare the data for presentation or synthesis, such as handling of missing summary statistics, or data conversions.</w:t>
            </w:r>
          </w:p>
        </w:tc>
      </w:tr>
      <w:tr w14:paraId="2C89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vMerge w:val="continue"/>
          </w:tcPr>
          <w:p w14:paraId="2B099D26">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p>
        </w:tc>
        <w:tc>
          <w:tcPr>
            <w:tcW w:w="0" w:type="auto"/>
          </w:tcPr>
          <w:p w14:paraId="2ADE8549">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13c</w:t>
            </w:r>
          </w:p>
        </w:tc>
        <w:tc>
          <w:tcPr>
            <w:tcW w:w="0" w:type="auto"/>
          </w:tcPr>
          <w:p w14:paraId="35AC0A20">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Describe any methods used to tabulate or visually display results of individual studies and syntheses.</w:t>
            </w:r>
          </w:p>
        </w:tc>
      </w:tr>
      <w:tr w14:paraId="576A7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vMerge w:val="continue"/>
          </w:tcPr>
          <w:p w14:paraId="3E2D95C3">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p>
        </w:tc>
        <w:tc>
          <w:tcPr>
            <w:tcW w:w="0" w:type="auto"/>
          </w:tcPr>
          <w:p w14:paraId="75D729EF">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13d</w:t>
            </w:r>
          </w:p>
        </w:tc>
        <w:tc>
          <w:tcPr>
            <w:tcW w:w="0" w:type="auto"/>
          </w:tcPr>
          <w:p w14:paraId="5A70BCB2">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Describe any methods used to synthesize results and provide a rationale for the choice(s). If meta-analysis was performed, describe the model(s), method(s) to identify the presence and extent of statistical heterogeneity, and software package(s) used.</w:t>
            </w:r>
          </w:p>
        </w:tc>
      </w:tr>
      <w:tr w14:paraId="484E6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vMerge w:val="continue"/>
          </w:tcPr>
          <w:p w14:paraId="29E323C9">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p>
        </w:tc>
        <w:tc>
          <w:tcPr>
            <w:tcW w:w="0" w:type="auto"/>
          </w:tcPr>
          <w:p w14:paraId="09E09B42">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13e</w:t>
            </w:r>
          </w:p>
        </w:tc>
        <w:tc>
          <w:tcPr>
            <w:tcW w:w="0" w:type="auto"/>
          </w:tcPr>
          <w:p w14:paraId="08B0E029">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Describe any methods used to explore possible causes of heterogeneity among study results (e.g. subgroup analysis, meta-regression).</w:t>
            </w:r>
          </w:p>
        </w:tc>
      </w:tr>
      <w:tr w14:paraId="57DE9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 w:hRule="atLeast"/>
        </w:trPr>
        <w:tc>
          <w:tcPr>
            <w:tcW w:w="0" w:type="auto"/>
            <w:vMerge w:val="continue"/>
          </w:tcPr>
          <w:p w14:paraId="023E0AD6">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p>
        </w:tc>
        <w:tc>
          <w:tcPr>
            <w:tcW w:w="0" w:type="auto"/>
          </w:tcPr>
          <w:p w14:paraId="21327468">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13f</w:t>
            </w:r>
          </w:p>
        </w:tc>
        <w:tc>
          <w:tcPr>
            <w:tcW w:w="0" w:type="auto"/>
          </w:tcPr>
          <w:p w14:paraId="27A88A42">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Describe any sensitivity analyses conducted to assess robustness of the synthesized results.</w:t>
            </w:r>
          </w:p>
        </w:tc>
      </w:tr>
      <w:tr w14:paraId="5A0D5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tcPr>
          <w:p w14:paraId="120728CC">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Reporting bias assessment</w:t>
            </w:r>
          </w:p>
        </w:tc>
        <w:tc>
          <w:tcPr>
            <w:tcW w:w="0" w:type="auto"/>
          </w:tcPr>
          <w:p w14:paraId="37B4D1A2">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14</w:t>
            </w:r>
          </w:p>
        </w:tc>
        <w:tc>
          <w:tcPr>
            <w:tcW w:w="0" w:type="auto"/>
          </w:tcPr>
          <w:p w14:paraId="2EDAFE2F">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Describe any methods used to assess risk of bias due to missing results in a synthesis (arising from reporting biases).</w:t>
            </w:r>
          </w:p>
        </w:tc>
      </w:tr>
      <w:tr w14:paraId="4AF51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tcPr>
          <w:p w14:paraId="4D54EE16">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Certainty assessment</w:t>
            </w:r>
          </w:p>
        </w:tc>
        <w:tc>
          <w:tcPr>
            <w:tcW w:w="0" w:type="auto"/>
          </w:tcPr>
          <w:p w14:paraId="4E3E8DD2">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15</w:t>
            </w:r>
          </w:p>
        </w:tc>
        <w:tc>
          <w:tcPr>
            <w:tcW w:w="0" w:type="auto"/>
          </w:tcPr>
          <w:p w14:paraId="50D3843C">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Describe any methods used to assess certainty (or confidence) in the body of evidence for an outcome.</w:t>
            </w:r>
          </w:p>
        </w:tc>
      </w:tr>
      <w:tr w14:paraId="780DF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 w:hRule="atLeast"/>
        </w:trPr>
        <w:tc>
          <w:tcPr>
            <w:tcW w:w="0" w:type="auto"/>
            <w:gridSpan w:val="3"/>
          </w:tcPr>
          <w:p w14:paraId="37C6E897">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b/>
                <w:bCs/>
                <w:color w:val="221E1F"/>
                <w:lang w:val="en-CA"/>
              </w:rPr>
              <w:t xml:space="preserve">RESULTS </w:t>
            </w:r>
          </w:p>
        </w:tc>
      </w:tr>
      <w:tr w14:paraId="6FE80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vMerge w:val="restart"/>
          </w:tcPr>
          <w:p w14:paraId="4A366042">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 xml:space="preserve">Study selection </w:t>
            </w:r>
          </w:p>
        </w:tc>
        <w:tc>
          <w:tcPr>
            <w:tcW w:w="0" w:type="auto"/>
          </w:tcPr>
          <w:p w14:paraId="2317A144">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16a</w:t>
            </w:r>
          </w:p>
        </w:tc>
        <w:tc>
          <w:tcPr>
            <w:tcW w:w="0" w:type="auto"/>
          </w:tcPr>
          <w:p w14:paraId="5C9266A6">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Describe the results of the search and selection process, from the number of records identified in the search to the number of studies included in the review, ideally using a flow diagram.</w:t>
            </w:r>
          </w:p>
        </w:tc>
      </w:tr>
      <w:tr w14:paraId="0AF5A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vMerge w:val="continue"/>
          </w:tcPr>
          <w:p w14:paraId="32A1F074">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p>
        </w:tc>
        <w:tc>
          <w:tcPr>
            <w:tcW w:w="0" w:type="auto"/>
          </w:tcPr>
          <w:p w14:paraId="09925102">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16b</w:t>
            </w:r>
          </w:p>
        </w:tc>
        <w:tc>
          <w:tcPr>
            <w:tcW w:w="0" w:type="auto"/>
          </w:tcPr>
          <w:p w14:paraId="4D3A7C6A">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Cite studies that might appear to meet the inclusion criteria, but which were excluded, and explain why they were excluded.</w:t>
            </w:r>
          </w:p>
        </w:tc>
      </w:tr>
      <w:tr w14:paraId="2ADC4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3" w:hRule="atLeast"/>
        </w:trPr>
        <w:tc>
          <w:tcPr>
            <w:tcW w:w="0" w:type="auto"/>
          </w:tcPr>
          <w:p w14:paraId="0D0196C8">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 xml:space="preserve">Study characteristics </w:t>
            </w:r>
          </w:p>
        </w:tc>
        <w:tc>
          <w:tcPr>
            <w:tcW w:w="0" w:type="auto"/>
          </w:tcPr>
          <w:p w14:paraId="11022A0F">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17</w:t>
            </w:r>
          </w:p>
        </w:tc>
        <w:tc>
          <w:tcPr>
            <w:tcW w:w="0" w:type="auto"/>
          </w:tcPr>
          <w:p w14:paraId="1B144C28">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Cite each included study and present its characteristics.</w:t>
            </w:r>
          </w:p>
        </w:tc>
      </w:tr>
      <w:tr w14:paraId="2609E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tcPr>
          <w:p w14:paraId="60AB8B29">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 xml:space="preserve">Risk of bias in studies </w:t>
            </w:r>
          </w:p>
        </w:tc>
        <w:tc>
          <w:tcPr>
            <w:tcW w:w="0" w:type="auto"/>
          </w:tcPr>
          <w:p w14:paraId="30068B72">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18</w:t>
            </w:r>
          </w:p>
        </w:tc>
        <w:tc>
          <w:tcPr>
            <w:tcW w:w="0" w:type="auto"/>
          </w:tcPr>
          <w:p w14:paraId="06206F4E">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Present assessments of risk of bias for each included study.</w:t>
            </w:r>
          </w:p>
        </w:tc>
      </w:tr>
      <w:tr w14:paraId="00FAB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tcPr>
          <w:p w14:paraId="64B18DB5">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 xml:space="preserve">Results of individual studies </w:t>
            </w:r>
          </w:p>
        </w:tc>
        <w:tc>
          <w:tcPr>
            <w:tcW w:w="0" w:type="auto"/>
          </w:tcPr>
          <w:p w14:paraId="0A963FEF">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19</w:t>
            </w:r>
          </w:p>
        </w:tc>
        <w:tc>
          <w:tcPr>
            <w:tcW w:w="0" w:type="auto"/>
          </w:tcPr>
          <w:p w14:paraId="411F6BDF">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For all outcomes, present, for each study: (a) summary statistics for each group (where appropriate) and (b) an effect estimate and its precision (e.g. confidence/credible interval), ideally using structured tables or plots.</w:t>
            </w:r>
          </w:p>
        </w:tc>
      </w:tr>
      <w:tr w14:paraId="6D1C3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vMerge w:val="restart"/>
          </w:tcPr>
          <w:p w14:paraId="2E2484A0">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Results of syntheses</w:t>
            </w:r>
          </w:p>
        </w:tc>
        <w:tc>
          <w:tcPr>
            <w:tcW w:w="0" w:type="auto"/>
          </w:tcPr>
          <w:p w14:paraId="4A00B0D0">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20a</w:t>
            </w:r>
          </w:p>
        </w:tc>
        <w:tc>
          <w:tcPr>
            <w:tcW w:w="0" w:type="auto"/>
          </w:tcPr>
          <w:p w14:paraId="178BF3DE">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For each synthesis, briefly summarise the characteristics and risk of bias among contributing studies.</w:t>
            </w:r>
          </w:p>
        </w:tc>
      </w:tr>
      <w:tr w14:paraId="1EA59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3" w:hRule="atLeast"/>
        </w:trPr>
        <w:tc>
          <w:tcPr>
            <w:tcW w:w="0" w:type="auto"/>
            <w:vMerge w:val="continue"/>
          </w:tcPr>
          <w:p w14:paraId="6F0D4779">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p>
        </w:tc>
        <w:tc>
          <w:tcPr>
            <w:tcW w:w="0" w:type="auto"/>
          </w:tcPr>
          <w:p w14:paraId="6B7BE1C5">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20b</w:t>
            </w:r>
          </w:p>
        </w:tc>
        <w:tc>
          <w:tcPr>
            <w:tcW w:w="0" w:type="auto"/>
          </w:tcPr>
          <w:p w14:paraId="0A91234D">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r>
      <w:tr w14:paraId="5D942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vMerge w:val="continue"/>
          </w:tcPr>
          <w:p w14:paraId="509F4653">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p>
        </w:tc>
        <w:tc>
          <w:tcPr>
            <w:tcW w:w="0" w:type="auto"/>
          </w:tcPr>
          <w:p w14:paraId="0959CD80">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20c</w:t>
            </w:r>
          </w:p>
        </w:tc>
        <w:tc>
          <w:tcPr>
            <w:tcW w:w="0" w:type="auto"/>
          </w:tcPr>
          <w:p w14:paraId="552D57D4">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Present results of all investigations of possible causes of heterogeneity among study results.</w:t>
            </w:r>
          </w:p>
        </w:tc>
      </w:tr>
      <w:tr w14:paraId="0C296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vMerge w:val="continue"/>
          </w:tcPr>
          <w:p w14:paraId="18AC29F8">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p>
        </w:tc>
        <w:tc>
          <w:tcPr>
            <w:tcW w:w="0" w:type="auto"/>
          </w:tcPr>
          <w:p w14:paraId="1FD2D54E">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20d</w:t>
            </w:r>
          </w:p>
        </w:tc>
        <w:tc>
          <w:tcPr>
            <w:tcW w:w="0" w:type="auto"/>
          </w:tcPr>
          <w:p w14:paraId="764DCC60">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Present results of all sensitivity analyses conducted to assess the robustness of the synthesized results.</w:t>
            </w:r>
          </w:p>
        </w:tc>
      </w:tr>
      <w:tr w14:paraId="2BA2F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tcPr>
          <w:p w14:paraId="2C031804">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Reporting biases</w:t>
            </w:r>
          </w:p>
        </w:tc>
        <w:tc>
          <w:tcPr>
            <w:tcW w:w="0" w:type="auto"/>
          </w:tcPr>
          <w:p w14:paraId="0DBD0EAC">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21</w:t>
            </w:r>
          </w:p>
        </w:tc>
        <w:tc>
          <w:tcPr>
            <w:tcW w:w="0" w:type="auto"/>
          </w:tcPr>
          <w:p w14:paraId="28E89F52">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Present assessments of risk of bias due to missing results (arising from reporting biases) for each synthesis assessed.</w:t>
            </w:r>
          </w:p>
        </w:tc>
      </w:tr>
      <w:tr w14:paraId="0342E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tcPr>
          <w:p w14:paraId="270E7520">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 xml:space="preserve">Certainty of evidence </w:t>
            </w:r>
          </w:p>
        </w:tc>
        <w:tc>
          <w:tcPr>
            <w:tcW w:w="0" w:type="auto"/>
          </w:tcPr>
          <w:p w14:paraId="70B006EB">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22</w:t>
            </w:r>
          </w:p>
        </w:tc>
        <w:tc>
          <w:tcPr>
            <w:tcW w:w="0" w:type="auto"/>
          </w:tcPr>
          <w:p w14:paraId="2C064B5A">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Present assessments of certainty (or confidence) in the body of evidence for each outcome assessed.</w:t>
            </w:r>
          </w:p>
        </w:tc>
      </w:tr>
      <w:tr w14:paraId="399B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 w:hRule="atLeast"/>
        </w:trPr>
        <w:tc>
          <w:tcPr>
            <w:tcW w:w="0" w:type="auto"/>
            <w:gridSpan w:val="3"/>
          </w:tcPr>
          <w:p w14:paraId="39C1D265">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b/>
                <w:bCs/>
                <w:color w:val="221E1F"/>
                <w:lang w:val="en-CA"/>
              </w:rPr>
              <w:t xml:space="preserve">DISCUSSION </w:t>
            </w:r>
          </w:p>
        </w:tc>
      </w:tr>
      <w:tr w14:paraId="403FD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vMerge w:val="restart"/>
          </w:tcPr>
          <w:p w14:paraId="19D368BF">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 xml:space="preserve">Discussion </w:t>
            </w:r>
          </w:p>
        </w:tc>
        <w:tc>
          <w:tcPr>
            <w:tcW w:w="0" w:type="auto"/>
          </w:tcPr>
          <w:p w14:paraId="5E6630F7">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23a</w:t>
            </w:r>
          </w:p>
        </w:tc>
        <w:tc>
          <w:tcPr>
            <w:tcW w:w="0" w:type="auto"/>
          </w:tcPr>
          <w:p w14:paraId="11715BCF">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Provide a general interpretation of the results in the context of other evidence.</w:t>
            </w:r>
          </w:p>
        </w:tc>
      </w:tr>
      <w:tr w14:paraId="0E145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vMerge w:val="continue"/>
          </w:tcPr>
          <w:p w14:paraId="6BF755FA">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p>
        </w:tc>
        <w:tc>
          <w:tcPr>
            <w:tcW w:w="0" w:type="auto"/>
          </w:tcPr>
          <w:p w14:paraId="0AAA3902">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23b</w:t>
            </w:r>
          </w:p>
        </w:tc>
        <w:tc>
          <w:tcPr>
            <w:tcW w:w="0" w:type="auto"/>
          </w:tcPr>
          <w:p w14:paraId="3F59A578">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Discuss any limitations of the evidence included in the review.</w:t>
            </w:r>
          </w:p>
        </w:tc>
      </w:tr>
      <w:tr w14:paraId="1CFC1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vMerge w:val="continue"/>
          </w:tcPr>
          <w:p w14:paraId="3DC09B1C">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p>
        </w:tc>
        <w:tc>
          <w:tcPr>
            <w:tcW w:w="0" w:type="auto"/>
          </w:tcPr>
          <w:p w14:paraId="210B5E89">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23c</w:t>
            </w:r>
          </w:p>
        </w:tc>
        <w:tc>
          <w:tcPr>
            <w:tcW w:w="0" w:type="auto"/>
          </w:tcPr>
          <w:p w14:paraId="4C366DAF">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Discuss any limitations of the review processes used.</w:t>
            </w:r>
          </w:p>
        </w:tc>
      </w:tr>
      <w:tr w14:paraId="4512B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vMerge w:val="continue"/>
          </w:tcPr>
          <w:p w14:paraId="0D9F5B7E">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p>
        </w:tc>
        <w:tc>
          <w:tcPr>
            <w:tcW w:w="0" w:type="auto"/>
          </w:tcPr>
          <w:p w14:paraId="3585B363">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23d</w:t>
            </w:r>
          </w:p>
        </w:tc>
        <w:tc>
          <w:tcPr>
            <w:tcW w:w="0" w:type="auto"/>
          </w:tcPr>
          <w:p w14:paraId="653FA2CC">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Discuss implications of the results for practice, policy, and future research.</w:t>
            </w:r>
          </w:p>
        </w:tc>
      </w:tr>
      <w:tr w14:paraId="6EF3B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 w:hRule="atLeast"/>
        </w:trPr>
        <w:tc>
          <w:tcPr>
            <w:tcW w:w="0" w:type="auto"/>
            <w:gridSpan w:val="3"/>
          </w:tcPr>
          <w:p w14:paraId="7A6F177B">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b/>
                <w:bCs/>
                <w:color w:val="221E1F"/>
                <w:lang w:val="en-CA"/>
              </w:rPr>
              <w:t>OTHER INFORMATION</w:t>
            </w:r>
          </w:p>
        </w:tc>
      </w:tr>
      <w:tr w14:paraId="4EAB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vMerge w:val="restart"/>
          </w:tcPr>
          <w:p w14:paraId="15F4D920">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Registration and protocol</w:t>
            </w:r>
          </w:p>
        </w:tc>
        <w:tc>
          <w:tcPr>
            <w:tcW w:w="0" w:type="auto"/>
          </w:tcPr>
          <w:p w14:paraId="6D3A63FC">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24a</w:t>
            </w:r>
          </w:p>
        </w:tc>
        <w:tc>
          <w:tcPr>
            <w:tcW w:w="0" w:type="auto"/>
          </w:tcPr>
          <w:p w14:paraId="741A9FB2">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Provide registration information for the review, including register name and registration number, or state that the review was not registered.</w:t>
            </w:r>
          </w:p>
        </w:tc>
      </w:tr>
      <w:tr w14:paraId="2537A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 w:hRule="atLeast"/>
        </w:trPr>
        <w:tc>
          <w:tcPr>
            <w:tcW w:w="0" w:type="auto"/>
            <w:vMerge w:val="continue"/>
          </w:tcPr>
          <w:p w14:paraId="1ECB7BCE">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p>
        </w:tc>
        <w:tc>
          <w:tcPr>
            <w:tcW w:w="0" w:type="auto"/>
          </w:tcPr>
          <w:p w14:paraId="7F595B88">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24b</w:t>
            </w:r>
          </w:p>
        </w:tc>
        <w:tc>
          <w:tcPr>
            <w:tcW w:w="0" w:type="auto"/>
          </w:tcPr>
          <w:p w14:paraId="22197E79">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Indicate where the review protocol can be accessed, or state that a protocol was not prepared.</w:t>
            </w:r>
          </w:p>
        </w:tc>
      </w:tr>
      <w:tr w14:paraId="081D6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vMerge w:val="continue"/>
          </w:tcPr>
          <w:p w14:paraId="63604428">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p>
        </w:tc>
        <w:tc>
          <w:tcPr>
            <w:tcW w:w="0" w:type="auto"/>
          </w:tcPr>
          <w:p w14:paraId="7F23A551">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24c</w:t>
            </w:r>
          </w:p>
        </w:tc>
        <w:tc>
          <w:tcPr>
            <w:tcW w:w="0" w:type="auto"/>
          </w:tcPr>
          <w:p w14:paraId="158A1F1F">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Describe and explain any amendments to information provided at registration or in the protocol.</w:t>
            </w:r>
          </w:p>
        </w:tc>
      </w:tr>
      <w:tr w14:paraId="690A8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tcPr>
          <w:p w14:paraId="6AB2B12C">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Support</w:t>
            </w:r>
          </w:p>
        </w:tc>
        <w:tc>
          <w:tcPr>
            <w:tcW w:w="0" w:type="auto"/>
          </w:tcPr>
          <w:p w14:paraId="6443C4BE">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25</w:t>
            </w:r>
          </w:p>
        </w:tc>
        <w:tc>
          <w:tcPr>
            <w:tcW w:w="0" w:type="auto"/>
          </w:tcPr>
          <w:p w14:paraId="16DF8C1C">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Describe sources of financial or non-financial support for the review, and the role of the funders or sponsors in the review.</w:t>
            </w:r>
          </w:p>
        </w:tc>
      </w:tr>
      <w:tr w14:paraId="0EADB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 w:hRule="atLeast"/>
        </w:trPr>
        <w:tc>
          <w:tcPr>
            <w:tcW w:w="0" w:type="auto"/>
          </w:tcPr>
          <w:p w14:paraId="54EC741C">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Competing interests</w:t>
            </w:r>
          </w:p>
        </w:tc>
        <w:tc>
          <w:tcPr>
            <w:tcW w:w="0" w:type="auto"/>
          </w:tcPr>
          <w:p w14:paraId="0E2F37F5">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26</w:t>
            </w:r>
          </w:p>
        </w:tc>
        <w:tc>
          <w:tcPr>
            <w:tcW w:w="0" w:type="auto"/>
          </w:tcPr>
          <w:p w14:paraId="4482670E">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Declare any competing interests of review authors.</w:t>
            </w:r>
          </w:p>
        </w:tc>
      </w:tr>
      <w:tr w14:paraId="4EBCA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9" w:hRule="atLeast"/>
        </w:trPr>
        <w:tc>
          <w:tcPr>
            <w:tcW w:w="0" w:type="auto"/>
          </w:tcPr>
          <w:p w14:paraId="39A4E343">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Availability of data, code and other materials</w:t>
            </w:r>
          </w:p>
        </w:tc>
        <w:tc>
          <w:tcPr>
            <w:tcW w:w="0" w:type="auto"/>
          </w:tcPr>
          <w:p w14:paraId="05AF4FDE">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27</w:t>
            </w:r>
          </w:p>
        </w:tc>
        <w:tc>
          <w:tcPr>
            <w:tcW w:w="0" w:type="auto"/>
          </w:tcPr>
          <w:p w14:paraId="3197B8EA">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lang w:val="en-CA"/>
              </w:rPr>
            </w:pPr>
            <w:r>
              <w:rPr>
                <w:rFonts w:ascii="Times New Roman" w:hAnsi="Times New Roman" w:eastAsia="Times New Roman" w:cs="Times New Roman"/>
                <w:color w:val="221E1F"/>
                <w:lang w:val="en-CA"/>
              </w:rPr>
              <w:t>Report which of the following are publicly available and where they can be found: template data collection forms; data extracted from included studies; data used for all analyses; analytic code; any other materials used in the review.</w:t>
            </w:r>
          </w:p>
        </w:tc>
      </w:tr>
    </w:tbl>
    <w:p w14:paraId="08491ECC">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i/>
          <w:iCs/>
          <w:color w:val="221E1F"/>
          <w:lang w:val="en-US"/>
        </w:rPr>
      </w:pPr>
      <w:r>
        <w:rPr>
          <w:rFonts w:ascii="Times New Roman" w:hAnsi="Times New Roman" w:eastAsia="Times New Roman" w:cs="Times New Roman"/>
          <w:i/>
          <w:iCs/>
          <w:color w:val="221E1F"/>
          <w:lang w:val="en-US"/>
        </w:rPr>
        <w:t>Fonte: Page et al., The PRISMA 2020 statement: an updated guideline for reporting systematic reviews. BMJ 2021;372:n71. doi: 10.1136/bmj.n71. This work is licensed under CC BY 4.0. To view a copy of this license, visit https://creativecommons.org/licenses/by/4.0/</w:t>
      </w:r>
    </w:p>
    <w:p w14:paraId="53F74724">
      <w:pPr>
        <w:pBdr>
          <w:top w:val="none" w:color="auto" w:sz="0" w:space="0"/>
          <w:left w:val="none" w:color="auto" w:sz="0" w:space="0"/>
          <w:bottom w:val="none" w:color="auto" w:sz="0" w:space="0"/>
          <w:right w:val="none" w:color="auto" w:sz="0" w:space="0"/>
          <w:between w:val="none" w:color="auto" w:sz="0" w:space="0"/>
        </w:pBdr>
        <w:spacing w:before="240" w:after="0" w:line="360" w:lineRule="auto"/>
        <w:ind w:firstLine="278"/>
        <w:jc w:val="both"/>
        <w:rPr>
          <w:rFonts w:ascii="Times New Roman" w:hAnsi="Times New Roman" w:eastAsia="Times New Roman" w:cs="Times New Roman"/>
          <w:color w:val="221E1F"/>
          <w:sz w:val="24"/>
          <w:szCs w:val="24"/>
        </w:rPr>
      </w:pPr>
      <w:r>
        <w:rPr>
          <w:rFonts w:ascii="Times New Roman" w:hAnsi="Times New Roman" w:eastAsia="Times New Roman" w:cs="Times New Roman"/>
          <w:color w:val="221E1F"/>
          <w:sz w:val="24"/>
          <w:szCs w:val="24"/>
          <w:lang w:val="en-US"/>
        </w:rPr>
        <w:t xml:space="preserve"> </w:t>
      </w:r>
      <w:r>
        <w:rPr>
          <w:rFonts w:ascii="Times New Roman" w:hAnsi="Times New Roman" w:eastAsia="Times New Roman" w:cs="Times New Roman"/>
          <w:color w:val="221E1F"/>
          <w:sz w:val="24"/>
          <w:szCs w:val="24"/>
        </w:rPr>
        <w:t>Diferentemente de uma revisão estritamente quantitativa ou meta-analítica, nosso interesse recaiu sobre a compreensão interpretativa e crítica das produções, de modo que a fase de seleção e organização do corpus dialogou com a pré-análise da análise de conteúdo (Bardin, 2016), enquanto a construção das categorias explicativas e a articulação dos achados foram pensadas à luz da constelação adorniana e das decomposições imagéticas (Silva et al., 2026). Essa mescla procedimental permitiu mapear o estado da arte à medida que desmontamos as imagens que perpassam as práticas escolares e reagrupamos os elementos em uma configuração que revela as contradições estruturais do fenômeno.</w:t>
      </w:r>
    </w:p>
    <w:p w14:paraId="50710904">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rPr>
      </w:pPr>
      <w:r>
        <w:rPr>
          <w:rFonts w:ascii="Times New Roman" w:hAnsi="Times New Roman" w:eastAsia="Times New Roman" w:cs="Times New Roman"/>
          <w:color w:val="221E1F"/>
          <w:sz w:val="24"/>
          <w:szCs w:val="24"/>
        </w:rPr>
        <w:t>A busca pelos estudos foi conduzida entre os dias 06 e 09 de dezembro de 2025 nas bases de dados Portal de Periódicos CAPES, Science Direct, Scielo e Google Scholar. Utilizamos descritores em português e, quando aplicável, suas correspondências em inglês, combinados de forma distinta conforme a base consultada: "violência contra mulheres", "ambiente escolar", "escola", "práticas pedagógicas", "gênero" e "educação". Estabelecemos como critérios de elegibilidade: (i) artigos publicados a partir de 2020; (ii) revisados por pares; (iii) com texto completo disponível; (iv) que abordassem, ainda que de forma transversal, a relação entre escola e violência contra as mulheres. A triagem ocorreu em quatro etapas sequenciais: análise dos títulos, dos resumos, dos textos completos e, por fim, aplicação dos critérios de elegibilidade, conforme registrado na Tabela 2. Ao final, constituímos um corpus de treze artigos (Tabela 3), excluindo estudos duplicados e produções que, embora citassem os descritores, não possuíam foco analítico compatível com os objetivos da revisão.</w:t>
      </w:r>
    </w:p>
    <w:p w14:paraId="15B9FCB4">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b/>
          <w:bCs/>
          <w:color w:val="221E1F"/>
          <w:sz w:val="24"/>
          <w:szCs w:val="24"/>
        </w:rPr>
      </w:pPr>
      <w:r>
        <w:rPr>
          <w:rFonts w:ascii="Times New Roman" w:hAnsi="Times New Roman" w:eastAsia="Times New Roman" w:cs="Times New Roman"/>
          <w:color w:val="221E1F"/>
          <w:sz w:val="24"/>
          <w:szCs w:val="24"/>
        </w:rPr>
        <w:t>Após a constituição do corpus, procedemos à produção da evidenciação tratando os dados relevantes. Olhamos para as características dos estudos, pressupostos teóricos, procedimentos metodológicos e resultados principais, e os organizamos numa matriz analítica. A leitura dos textos completos funcionou como momento de pré-análise, no qual realizamos a leitura flutuante e o agrupamento inicial das temáticas. Em seguida, operamos as decomposições imagéticas das práticas pedagógicas descritas nos artigos, desmontando as representações de escola, currículo e professorado que ali apareciam, de formas implícitas ou subjacentes, como naturais. Por fim, mobilizamos o procedimento da constelação, em diálogo com Adorno, para que, sem forçar uma sistematização fechada, os conceitos de violência estrutural, medo pedagógico, omissão curricular, antítese social, entre outros, se iluminassem mutuamente, revelando as contradições do objeto. Tal procedimento justifica-se pelo caráter dialético do fenômeno estudado: a escola como cúmplice e, ao mesmo tempo, como potencial espaço de enfrentamento da violência contra as mulheres.</w:t>
      </w:r>
    </w:p>
    <w:p w14:paraId="5467956F">
      <w:pPr>
        <w:pBdr>
          <w:top w:val="none" w:color="auto" w:sz="0" w:space="0"/>
          <w:left w:val="none" w:color="auto" w:sz="0" w:space="0"/>
          <w:bottom w:val="none" w:color="auto" w:sz="0" w:space="0"/>
          <w:right w:val="none" w:color="auto" w:sz="0" w:space="0"/>
          <w:between w:val="none" w:color="auto" w:sz="0" w:space="0"/>
        </w:pBdr>
        <w:spacing w:before="240" w:line="360" w:lineRule="auto"/>
        <w:jc w:val="both"/>
        <w:rPr>
          <w:rFonts w:ascii="Times New Roman" w:hAnsi="Times New Roman" w:eastAsia="Times New Roman" w:cs="Times New Roman"/>
          <w:b/>
          <w:bCs/>
          <w:color w:val="221E1F"/>
          <w:sz w:val="24"/>
          <w:szCs w:val="24"/>
        </w:rPr>
      </w:pPr>
    </w:p>
    <w:p w14:paraId="094A229A">
      <w:pPr>
        <w:pBdr>
          <w:top w:val="none" w:color="auto" w:sz="0" w:space="0"/>
          <w:left w:val="none" w:color="auto" w:sz="0" w:space="0"/>
          <w:bottom w:val="none" w:color="auto" w:sz="0" w:space="0"/>
          <w:right w:val="none" w:color="auto" w:sz="0" w:space="0"/>
          <w:between w:val="none" w:color="auto" w:sz="0" w:space="0"/>
        </w:pBdr>
        <w:spacing w:before="240" w:line="360" w:lineRule="auto"/>
        <w:jc w:val="both"/>
        <w:rPr>
          <w:rFonts w:ascii="Times New Roman" w:hAnsi="Times New Roman" w:eastAsia="Times New Roman" w:cs="Times New Roman"/>
          <w:b/>
          <w:bCs/>
          <w:color w:val="221E1F"/>
          <w:sz w:val="24"/>
          <w:szCs w:val="24"/>
        </w:rPr>
      </w:pPr>
      <w:r>
        <w:rPr>
          <w:rFonts w:ascii="Times New Roman" w:hAnsi="Times New Roman" w:eastAsia="Times New Roman" w:cs="Times New Roman"/>
          <w:b/>
          <w:bCs/>
          <w:color w:val="221E1F"/>
          <w:sz w:val="24"/>
          <w:szCs w:val="24"/>
        </w:rPr>
        <w:t>RESULTADOS</w:t>
      </w:r>
    </w:p>
    <w:p w14:paraId="2EFF274A">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Na Tabela 2, mostramos os resultados obtidos após a aplicação dos critérios citados.</w:t>
      </w:r>
    </w:p>
    <w:p w14:paraId="0240F1B0">
      <w:pPr>
        <w:pBdr>
          <w:top w:val="none" w:color="auto" w:sz="0" w:space="0"/>
          <w:left w:val="none" w:color="auto" w:sz="0" w:space="0"/>
          <w:bottom w:val="none" w:color="auto" w:sz="0" w:space="0"/>
          <w:right w:val="none" w:color="auto" w:sz="0" w:space="0"/>
          <w:between w:val="none" w:color="auto" w:sz="0" w:space="0"/>
        </w:pBdr>
        <w:spacing w:before="240" w:after="0" w:line="360" w:lineRule="auto"/>
        <w:rPr>
          <w:rFonts w:ascii="Times New Roman" w:hAnsi="Times New Roman" w:eastAsia="Times New Roman" w:cs="Times New Roman"/>
          <w:b/>
          <w:bCs/>
          <w:color w:val="221E1F"/>
          <w:lang w:val="pt-BR"/>
        </w:rPr>
      </w:pPr>
      <w:r>
        <w:rPr>
          <w:rFonts w:ascii="Times New Roman" w:hAnsi="Times New Roman" w:eastAsia="Times New Roman" w:cs="Times New Roman"/>
          <w:b/>
          <w:bCs/>
          <w:color w:val="221E1F"/>
          <w:lang w:val="pt-BR"/>
        </w:rPr>
        <w:t>Tabela 2</w:t>
      </w:r>
      <w:r>
        <w:rPr>
          <w:rFonts w:ascii="Times New Roman" w:hAnsi="Times New Roman" w:eastAsia="Times New Roman" w:cs="Times New Roman"/>
          <w:color w:val="221E1F"/>
          <w:lang w:val="pt-BR"/>
        </w:rPr>
        <w:t xml:space="preserve"> </w:t>
      </w:r>
      <w:r>
        <w:rPr>
          <w:rFonts w:ascii="Times New Roman" w:hAnsi="Times New Roman" w:eastAsia="Times New Roman" w:cs="Times New Roman"/>
          <w:i/>
          <w:iCs/>
          <w:color w:val="221E1F"/>
          <w:lang w:val="pt-BR"/>
        </w:rPr>
        <w:t>Resultados da pesquisa</w:t>
      </w:r>
    </w:p>
    <w:tbl>
      <w:tblPr>
        <w:tblStyle w:val="9"/>
        <w:tblW w:w="0" w:type="auto"/>
        <w:tblInd w:w="0" w:type="dxa"/>
        <w:tblLayout w:type="autofit"/>
        <w:tblCellMar>
          <w:top w:w="15" w:type="dxa"/>
          <w:left w:w="15" w:type="dxa"/>
          <w:bottom w:w="15" w:type="dxa"/>
          <w:right w:w="15" w:type="dxa"/>
        </w:tblCellMar>
      </w:tblPr>
      <w:tblGrid>
        <w:gridCol w:w="2922"/>
        <w:gridCol w:w="1475"/>
        <w:gridCol w:w="1343"/>
        <w:gridCol w:w="1286"/>
        <w:gridCol w:w="1508"/>
      </w:tblGrid>
      <w:tr w14:paraId="4766E7FA">
        <w:trPr>
          <w:trHeight w:val="435" w:hRule="atLeast"/>
        </w:trPr>
        <w:tc>
          <w:tcPr>
            <w:tcW w:w="0" w:type="auto"/>
            <w:tcBorders>
              <w:top w:val="single" w:color="000000" w:sz="8" w:space="0"/>
              <w:left w:val="single" w:color="000000" w:sz="8" w:space="0"/>
              <w:bottom w:val="single" w:color="000000" w:sz="8" w:space="0"/>
              <w:right w:val="single" w:color="000000" w:sz="8" w:space="0"/>
            </w:tcBorders>
            <w:shd w:val="clear" w:color="auto" w:fill="D9D9D9"/>
          </w:tcPr>
          <w:p w14:paraId="44DD8DF7">
            <w:pPr>
              <w:spacing w:before="120" w:after="0" w:line="240" w:lineRule="auto"/>
              <w:ind w:left="100" w:right="60"/>
              <w:jc w:val="both"/>
              <w:rPr>
                <w:rFonts w:ascii="Times New Roman" w:hAnsi="Times New Roman" w:eastAsia="Times New Roman" w:cs="Times New Roman"/>
                <w:lang w:val="pt-BR"/>
              </w:rPr>
            </w:pPr>
            <w:r>
              <w:rPr>
                <w:rFonts w:ascii="Times New Roman" w:hAnsi="Times New Roman" w:eastAsia="Times New Roman" w:cs="Times New Roman"/>
                <w:b/>
                <w:bCs/>
                <w:color w:val="000000"/>
                <w:lang w:val="pt-BR"/>
              </w:rPr>
              <w:t>Buscas nas Bases de Dados</w:t>
            </w:r>
          </w:p>
        </w:tc>
        <w:tc>
          <w:tcPr>
            <w:tcW w:w="0" w:type="auto"/>
            <w:tcBorders>
              <w:top w:val="single" w:color="000000" w:sz="8" w:space="0"/>
              <w:left w:val="single" w:color="000000" w:sz="8" w:space="0"/>
              <w:bottom w:val="single" w:color="000000" w:sz="8" w:space="0"/>
              <w:right w:val="single" w:color="000000" w:sz="8" w:space="0"/>
            </w:tcBorders>
            <w:shd w:val="clear" w:color="auto" w:fill="D9D9D9"/>
          </w:tcPr>
          <w:p w14:paraId="029C106E">
            <w:pPr>
              <w:spacing w:before="120" w:after="0" w:line="240" w:lineRule="auto"/>
              <w:ind w:left="380"/>
              <w:jc w:val="both"/>
              <w:rPr>
                <w:rFonts w:ascii="Times New Roman" w:hAnsi="Times New Roman" w:eastAsia="Times New Roman" w:cs="Times New Roman"/>
                <w:lang w:val="pt-BR"/>
              </w:rPr>
            </w:pPr>
            <w:r>
              <w:rPr>
                <w:rFonts w:ascii="Times New Roman" w:hAnsi="Times New Roman" w:eastAsia="Times New Roman" w:cs="Times New Roman"/>
                <w:b/>
                <w:bCs/>
                <w:color w:val="000000"/>
                <w:lang w:val="pt-BR"/>
              </w:rPr>
              <w:t>Base 1</w:t>
            </w:r>
          </w:p>
          <w:p w14:paraId="382EFB51">
            <w:pPr>
              <w:spacing w:after="0" w:line="240" w:lineRule="auto"/>
              <w:ind w:left="3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CAPES</w:t>
            </w:r>
          </w:p>
        </w:tc>
        <w:tc>
          <w:tcPr>
            <w:tcW w:w="0" w:type="auto"/>
            <w:tcBorders>
              <w:top w:val="single" w:color="000000" w:sz="8" w:space="0"/>
              <w:left w:val="single" w:color="000000" w:sz="8" w:space="0"/>
              <w:bottom w:val="single" w:color="000000" w:sz="8" w:space="0"/>
              <w:right w:val="single" w:color="000000" w:sz="8" w:space="0"/>
            </w:tcBorders>
            <w:shd w:val="clear" w:color="auto" w:fill="D9D9D9"/>
          </w:tcPr>
          <w:p w14:paraId="7D6C2479">
            <w:pPr>
              <w:spacing w:before="120" w:after="0" w:line="240" w:lineRule="auto"/>
              <w:ind w:left="260" w:right="200" w:firstLine="40"/>
              <w:jc w:val="both"/>
              <w:rPr>
                <w:rFonts w:ascii="Times New Roman" w:hAnsi="Times New Roman" w:eastAsia="Times New Roman" w:cs="Times New Roman"/>
                <w:lang w:val="pt-BR"/>
              </w:rPr>
            </w:pPr>
            <w:r>
              <w:rPr>
                <w:rFonts w:ascii="Times New Roman" w:hAnsi="Times New Roman" w:eastAsia="Times New Roman" w:cs="Times New Roman"/>
                <w:b/>
                <w:bCs/>
                <w:color w:val="000000"/>
                <w:lang w:val="pt-BR"/>
              </w:rPr>
              <w:t xml:space="preserve">Base 2 </w:t>
            </w:r>
            <w:r>
              <w:rPr>
                <w:rFonts w:ascii="Times New Roman" w:hAnsi="Times New Roman" w:eastAsia="Times New Roman" w:cs="Times New Roman"/>
                <w:i/>
                <w:iCs/>
                <w:color w:val="000000"/>
                <w:lang w:val="pt-BR"/>
              </w:rPr>
              <w:t>Science Direct</w:t>
            </w:r>
          </w:p>
        </w:tc>
        <w:tc>
          <w:tcPr>
            <w:tcW w:w="0" w:type="auto"/>
            <w:tcBorders>
              <w:top w:val="single" w:color="000000" w:sz="8" w:space="0"/>
              <w:left w:val="single" w:color="000000" w:sz="8" w:space="0"/>
              <w:bottom w:val="single" w:color="000000" w:sz="8" w:space="0"/>
              <w:right w:val="single" w:color="000000" w:sz="8" w:space="0"/>
            </w:tcBorders>
            <w:shd w:val="clear" w:color="auto" w:fill="D9D9D9"/>
          </w:tcPr>
          <w:p w14:paraId="38C022D4">
            <w:pPr>
              <w:spacing w:before="120" w:after="0" w:line="240" w:lineRule="auto"/>
              <w:ind w:left="320"/>
              <w:jc w:val="both"/>
              <w:rPr>
                <w:rFonts w:ascii="Times New Roman" w:hAnsi="Times New Roman" w:eastAsia="Times New Roman" w:cs="Times New Roman"/>
                <w:lang w:val="pt-BR"/>
              </w:rPr>
            </w:pPr>
            <w:r>
              <w:rPr>
                <w:rFonts w:ascii="Times New Roman" w:hAnsi="Times New Roman" w:eastAsia="Times New Roman" w:cs="Times New Roman"/>
                <w:b/>
                <w:bCs/>
                <w:color w:val="000000"/>
                <w:lang w:val="pt-BR"/>
              </w:rPr>
              <w:t>Base 3</w:t>
            </w:r>
          </w:p>
          <w:p w14:paraId="3E04F602">
            <w:pPr>
              <w:spacing w:after="0" w:line="240" w:lineRule="auto"/>
              <w:ind w:left="380"/>
              <w:jc w:val="both"/>
              <w:rPr>
                <w:rFonts w:ascii="Times New Roman" w:hAnsi="Times New Roman" w:eastAsia="Times New Roman" w:cs="Times New Roman"/>
                <w:lang w:val="pt-BR"/>
              </w:rPr>
            </w:pPr>
            <w:r>
              <w:rPr>
                <w:rFonts w:ascii="Times New Roman" w:hAnsi="Times New Roman" w:eastAsia="Times New Roman" w:cs="Times New Roman"/>
                <w:i/>
                <w:iCs/>
                <w:color w:val="000000"/>
                <w:lang w:val="pt-BR"/>
              </w:rPr>
              <w:t>Scielo</w:t>
            </w:r>
          </w:p>
        </w:tc>
        <w:tc>
          <w:tcPr>
            <w:tcW w:w="0" w:type="auto"/>
            <w:tcBorders>
              <w:top w:val="single" w:color="000000" w:sz="8" w:space="0"/>
              <w:left w:val="single" w:color="000000" w:sz="8" w:space="0"/>
              <w:bottom w:val="single" w:color="000000" w:sz="8" w:space="0"/>
              <w:right w:val="single" w:color="000000" w:sz="8" w:space="0"/>
            </w:tcBorders>
            <w:shd w:val="clear" w:color="auto" w:fill="D9D9D9"/>
          </w:tcPr>
          <w:p w14:paraId="5F5E8025">
            <w:pPr>
              <w:spacing w:before="120" w:after="0" w:line="240" w:lineRule="auto"/>
              <w:ind w:left="280" w:right="240" w:firstLine="20"/>
              <w:jc w:val="both"/>
              <w:rPr>
                <w:rFonts w:ascii="Times New Roman" w:hAnsi="Times New Roman" w:eastAsia="Times New Roman" w:cs="Times New Roman"/>
                <w:lang w:val="pt-BR"/>
              </w:rPr>
            </w:pPr>
            <w:r>
              <w:rPr>
                <w:rFonts w:ascii="Times New Roman" w:hAnsi="Times New Roman" w:eastAsia="Times New Roman" w:cs="Times New Roman"/>
                <w:b/>
                <w:bCs/>
                <w:color w:val="000000"/>
                <w:lang w:val="pt-BR"/>
              </w:rPr>
              <w:t xml:space="preserve">Base 4 </w:t>
            </w:r>
            <w:r>
              <w:rPr>
                <w:rFonts w:ascii="Times New Roman" w:hAnsi="Times New Roman" w:eastAsia="Times New Roman" w:cs="Times New Roman"/>
                <w:i/>
                <w:iCs/>
                <w:color w:val="000000"/>
                <w:lang w:val="pt-BR"/>
              </w:rPr>
              <w:t>Google Scholar</w:t>
            </w:r>
          </w:p>
        </w:tc>
      </w:tr>
      <w:tr w14:paraId="1E9CEF70">
        <w:trPr>
          <w:trHeight w:val="45" w:hRule="atLeast"/>
        </w:trPr>
        <w:tc>
          <w:tcPr>
            <w:tcW w:w="0" w:type="auto"/>
            <w:tcBorders>
              <w:top w:val="single" w:color="000000" w:sz="8" w:space="0"/>
              <w:left w:val="single" w:color="000000" w:sz="8" w:space="0"/>
              <w:bottom w:val="single" w:color="000000" w:sz="8" w:space="0"/>
              <w:right w:val="single" w:color="000000" w:sz="8" w:space="0"/>
            </w:tcBorders>
            <w:shd w:val="clear" w:color="auto" w:fill="FBE4CC"/>
          </w:tcPr>
          <w:p w14:paraId="51DE482C">
            <w:pPr>
              <w:spacing w:before="120" w:after="0" w:line="240" w:lineRule="auto"/>
              <w:ind w:left="1300"/>
              <w:jc w:val="both"/>
              <w:rPr>
                <w:rFonts w:ascii="Times New Roman" w:hAnsi="Times New Roman" w:eastAsia="Times New Roman" w:cs="Times New Roman"/>
                <w:lang w:val="pt-BR"/>
              </w:rPr>
            </w:pPr>
            <w:r>
              <w:rPr>
                <w:rFonts w:ascii="Times New Roman" w:hAnsi="Times New Roman" w:eastAsia="Times New Roman" w:cs="Times New Roman"/>
                <w:b/>
                <w:bCs/>
                <w:color w:val="000000"/>
                <w:lang w:val="pt-BR"/>
              </w:rPr>
              <w:t>Dia/Mês/Ano</w:t>
            </w:r>
          </w:p>
          <w:p w14:paraId="57839E78">
            <w:pPr>
              <w:spacing w:after="0" w:line="240" w:lineRule="auto"/>
              <w:ind w:left="122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Hora de Busca</w:t>
            </w:r>
          </w:p>
        </w:tc>
        <w:tc>
          <w:tcPr>
            <w:tcW w:w="0" w:type="auto"/>
            <w:tcBorders>
              <w:top w:val="single" w:color="000000" w:sz="8" w:space="0"/>
              <w:left w:val="single" w:color="000000" w:sz="8" w:space="0"/>
              <w:bottom w:val="single" w:color="000000" w:sz="8" w:space="0"/>
              <w:right w:val="single" w:color="000000" w:sz="8" w:space="0"/>
            </w:tcBorders>
          </w:tcPr>
          <w:p w14:paraId="6F633D4E">
            <w:pPr>
              <w:spacing w:before="120" w:after="0" w:line="240" w:lineRule="auto"/>
              <w:ind w:left="40" w:right="2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06/12/2025</w:t>
            </w:r>
          </w:p>
        </w:tc>
        <w:tc>
          <w:tcPr>
            <w:tcW w:w="0" w:type="auto"/>
            <w:tcBorders>
              <w:top w:val="single" w:color="000000" w:sz="8" w:space="0"/>
              <w:left w:val="single" w:color="000000" w:sz="8" w:space="0"/>
              <w:bottom w:val="single" w:color="000000" w:sz="8" w:space="0"/>
              <w:right w:val="single" w:color="000000" w:sz="8" w:space="0"/>
            </w:tcBorders>
          </w:tcPr>
          <w:p w14:paraId="4D33BFC3">
            <w:pPr>
              <w:spacing w:before="120" w:after="0" w:line="240" w:lineRule="auto"/>
              <w:ind w:left="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06/12/2025</w:t>
            </w:r>
          </w:p>
        </w:tc>
        <w:tc>
          <w:tcPr>
            <w:tcW w:w="0" w:type="auto"/>
            <w:tcBorders>
              <w:top w:val="single" w:color="000000" w:sz="8" w:space="0"/>
              <w:left w:val="single" w:color="000000" w:sz="8" w:space="0"/>
              <w:bottom w:val="single" w:color="000000" w:sz="8" w:space="0"/>
              <w:right w:val="single" w:color="000000" w:sz="8" w:space="0"/>
            </w:tcBorders>
          </w:tcPr>
          <w:p w14:paraId="5550815E">
            <w:pPr>
              <w:spacing w:before="120" w:after="0" w:line="240" w:lineRule="auto"/>
              <w:ind w:left="40" w:right="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09/12/2025</w:t>
            </w:r>
          </w:p>
        </w:tc>
        <w:tc>
          <w:tcPr>
            <w:tcW w:w="0" w:type="auto"/>
            <w:tcBorders>
              <w:top w:val="single" w:color="000000" w:sz="8" w:space="0"/>
              <w:left w:val="single" w:color="000000" w:sz="8" w:space="0"/>
              <w:bottom w:val="single" w:color="000000" w:sz="8" w:space="0"/>
              <w:right w:val="single" w:color="000000" w:sz="8" w:space="0"/>
            </w:tcBorders>
          </w:tcPr>
          <w:p w14:paraId="0C7FD1B6">
            <w:pPr>
              <w:spacing w:before="120" w:after="0" w:line="240" w:lineRule="auto"/>
              <w:ind w:left="14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09/12/2025</w:t>
            </w:r>
          </w:p>
        </w:tc>
      </w:tr>
      <w:tr w14:paraId="4D099F51">
        <w:trPr>
          <w:trHeight w:val="1515" w:hRule="atLeast"/>
        </w:trPr>
        <w:tc>
          <w:tcPr>
            <w:tcW w:w="0" w:type="auto"/>
            <w:tcBorders>
              <w:top w:val="single" w:color="000000" w:sz="8" w:space="0"/>
              <w:left w:val="single" w:color="000000" w:sz="8" w:space="0"/>
              <w:bottom w:val="single" w:color="000000" w:sz="8" w:space="0"/>
              <w:right w:val="single" w:color="000000" w:sz="8" w:space="0"/>
            </w:tcBorders>
            <w:shd w:val="clear" w:color="auto" w:fill="FBE4CC"/>
          </w:tcPr>
          <w:p w14:paraId="059A57A2">
            <w:pPr>
              <w:spacing w:before="100" w:after="0" w:line="240" w:lineRule="auto"/>
              <w:ind w:left="100" w:right="60"/>
              <w:jc w:val="both"/>
              <w:rPr>
                <w:rFonts w:ascii="Times New Roman" w:hAnsi="Times New Roman" w:eastAsia="Times New Roman" w:cs="Times New Roman"/>
                <w:lang w:val="pt-BR"/>
              </w:rPr>
            </w:pPr>
            <w:r>
              <w:rPr>
                <w:rFonts w:ascii="Times New Roman" w:hAnsi="Times New Roman" w:eastAsia="Times New Roman" w:cs="Times New Roman"/>
                <w:b/>
                <w:bCs/>
                <w:color w:val="000000"/>
                <w:lang w:val="pt-BR"/>
              </w:rPr>
              <w:t>Expressão de busca ou Estratégia de busca utilizada</w:t>
            </w:r>
          </w:p>
        </w:tc>
        <w:tc>
          <w:tcPr>
            <w:tcW w:w="0" w:type="auto"/>
            <w:tcBorders>
              <w:top w:val="single" w:color="000000" w:sz="8" w:space="0"/>
              <w:left w:val="single" w:color="000000" w:sz="8" w:space="0"/>
              <w:bottom w:val="single" w:color="000000" w:sz="8" w:space="0"/>
              <w:right w:val="single" w:color="000000" w:sz="8" w:space="0"/>
            </w:tcBorders>
          </w:tcPr>
          <w:p w14:paraId="0D20A152">
            <w:pPr>
              <w:spacing w:before="100" w:after="0" w:line="240" w:lineRule="auto"/>
              <w:ind w:left="40" w:right="24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Violência contra mulheres, educação</w:t>
            </w:r>
          </w:p>
        </w:tc>
        <w:tc>
          <w:tcPr>
            <w:tcW w:w="0" w:type="auto"/>
            <w:tcBorders>
              <w:top w:val="single" w:color="000000" w:sz="8" w:space="0"/>
              <w:left w:val="single" w:color="000000" w:sz="8" w:space="0"/>
              <w:bottom w:val="single" w:color="000000" w:sz="8" w:space="0"/>
              <w:right w:val="single" w:color="000000" w:sz="8" w:space="0"/>
            </w:tcBorders>
          </w:tcPr>
          <w:p w14:paraId="37D9747F">
            <w:pPr>
              <w:spacing w:before="100" w:after="0" w:line="240" w:lineRule="auto"/>
              <w:ind w:left="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Violência contra mulheres, ambiente escolar</w:t>
            </w:r>
          </w:p>
        </w:tc>
        <w:tc>
          <w:tcPr>
            <w:tcW w:w="0" w:type="auto"/>
            <w:tcBorders>
              <w:top w:val="single" w:color="000000" w:sz="8" w:space="0"/>
              <w:left w:val="single" w:color="000000" w:sz="8" w:space="0"/>
              <w:bottom w:val="single" w:color="000000" w:sz="8" w:space="0"/>
              <w:right w:val="single" w:color="000000" w:sz="8" w:space="0"/>
            </w:tcBorders>
          </w:tcPr>
          <w:p w14:paraId="2C56FE56">
            <w:pPr>
              <w:spacing w:before="100" w:after="0" w:line="240" w:lineRule="auto"/>
              <w:ind w:left="100" w:right="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Gênero, violência mulheres, educação</w:t>
            </w:r>
          </w:p>
        </w:tc>
        <w:tc>
          <w:tcPr>
            <w:tcW w:w="0" w:type="auto"/>
            <w:tcBorders>
              <w:top w:val="single" w:color="000000" w:sz="8" w:space="0"/>
              <w:left w:val="single" w:color="000000" w:sz="8" w:space="0"/>
              <w:bottom w:val="single" w:color="000000" w:sz="8" w:space="0"/>
              <w:right w:val="single" w:color="000000" w:sz="8" w:space="0"/>
            </w:tcBorders>
          </w:tcPr>
          <w:p w14:paraId="2067E6B0">
            <w:pPr>
              <w:spacing w:before="100" w:after="0" w:line="240" w:lineRule="auto"/>
              <w:ind w:left="80" w:right="4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Ambiente escolar, TCT, educação, violência contra mulheres</w:t>
            </w:r>
          </w:p>
        </w:tc>
      </w:tr>
      <w:tr w14:paraId="62B6E76C">
        <w:trPr>
          <w:trHeight w:val="285" w:hRule="atLeast"/>
        </w:trPr>
        <w:tc>
          <w:tcPr>
            <w:tcW w:w="0" w:type="auto"/>
            <w:tcBorders>
              <w:top w:val="single" w:color="000000" w:sz="8" w:space="0"/>
              <w:left w:val="single" w:color="000000" w:sz="8" w:space="0"/>
              <w:bottom w:val="single" w:color="000000" w:sz="8" w:space="0"/>
              <w:right w:val="single" w:color="000000" w:sz="8" w:space="0"/>
            </w:tcBorders>
            <w:shd w:val="clear" w:color="auto" w:fill="A3C2F4"/>
          </w:tcPr>
          <w:p w14:paraId="0531B4CE">
            <w:pPr>
              <w:spacing w:before="100" w:after="0" w:line="240" w:lineRule="auto"/>
              <w:ind w:left="100" w:right="60"/>
              <w:jc w:val="both"/>
              <w:rPr>
                <w:rFonts w:ascii="Times New Roman" w:hAnsi="Times New Roman" w:eastAsia="Times New Roman" w:cs="Times New Roman"/>
                <w:lang w:val="pt-BR"/>
              </w:rPr>
            </w:pPr>
            <w:r>
              <w:rPr>
                <w:rFonts w:ascii="Times New Roman" w:hAnsi="Times New Roman" w:eastAsia="Times New Roman" w:cs="Times New Roman"/>
                <w:b/>
                <w:bCs/>
                <w:color w:val="000000"/>
                <w:lang w:val="pt-BR"/>
              </w:rPr>
              <w:t>Estudos levantados</w:t>
            </w:r>
          </w:p>
        </w:tc>
        <w:tc>
          <w:tcPr>
            <w:tcW w:w="0" w:type="auto"/>
            <w:tcBorders>
              <w:top w:val="single" w:color="000000" w:sz="8" w:space="0"/>
              <w:left w:val="single" w:color="000000" w:sz="8" w:space="0"/>
              <w:bottom w:val="single" w:color="000000" w:sz="8" w:space="0"/>
              <w:right w:val="single" w:color="000000" w:sz="8" w:space="0"/>
            </w:tcBorders>
            <w:shd w:val="clear" w:color="auto" w:fill="A3C2F4"/>
          </w:tcPr>
          <w:p w14:paraId="5EF1F629">
            <w:pPr>
              <w:spacing w:after="0" w:line="240" w:lineRule="auto"/>
              <w:ind w:left="4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 </w:t>
            </w:r>
          </w:p>
        </w:tc>
        <w:tc>
          <w:tcPr>
            <w:tcW w:w="0" w:type="auto"/>
            <w:tcBorders>
              <w:top w:val="single" w:color="000000" w:sz="8" w:space="0"/>
              <w:left w:val="single" w:color="000000" w:sz="8" w:space="0"/>
              <w:bottom w:val="single" w:color="000000" w:sz="8" w:space="0"/>
              <w:right w:val="single" w:color="000000" w:sz="8" w:space="0"/>
            </w:tcBorders>
            <w:shd w:val="clear" w:color="auto" w:fill="A3C2F4"/>
          </w:tcPr>
          <w:p w14:paraId="037D6CFF">
            <w:pPr>
              <w:spacing w:after="0" w:line="240" w:lineRule="auto"/>
              <w:ind w:left="4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 </w:t>
            </w:r>
          </w:p>
        </w:tc>
        <w:tc>
          <w:tcPr>
            <w:tcW w:w="0" w:type="auto"/>
            <w:tcBorders>
              <w:top w:val="single" w:color="000000" w:sz="8" w:space="0"/>
              <w:left w:val="single" w:color="000000" w:sz="8" w:space="0"/>
              <w:bottom w:val="single" w:color="000000" w:sz="8" w:space="0"/>
              <w:right w:val="single" w:color="000000" w:sz="8" w:space="0"/>
            </w:tcBorders>
            <w:shd w:val="clear" w:color="auto" w:fill="A3C2F4"/>
          </w:tcPr>
          <w:p w14:paraId="7DCB2DE7">
            <w:pPr>
              <w:spacing w:after="0" w:line="240" w:lineRule="auto"/>
              <w:ind w:left="4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 </w:t>
            </w:r>
          </w:p>
        </w:tc>
        <w:tc>
          <w:tcPr>
            <w:tcW w:w="0" w:type="auto"/>
            <w:tcBorders>
              <w:top w:val="single" w:color="000000" w:sz="8" w:space="0"/>
              <w:left w:val="single" w:color="000000" w:sz="8" w:space="0"/>
              <w:bottom w:val="single" w:color="000000" w:sz="8" w:space="0"/>
              <w:right w:val="single" w:color="000000" w:sz="8" w:space="0"/>
            </w:tcBorders>
            <w:shd w:val="clear" w:color="auto" w:fill="A3C2F4"/>
          </w:tcPr>
          <w:p w14:paraId="76ACEAC1">
            <w:pPr>
              <w:spacing w:after="0" w:line="240" w:lineRule="auto"/>
              <w:ind w:left="4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 </w:t>
            </w:r>
          </w:p>
        </w:tc>
      </w:tr>
      <w:tr w14:paraId="09723427">
        <w:trPr>
          <w:trHeight w:val="525" w:hRule="atLeast"/>
        </w:trPr>
        <w:tc>
          <w:tcPr>
            <w:tcW w:w="0" w:type="auto"/>
            <w:tcBorders>
              <w:top w:val="single" w:color="000000" w:sz="8" w:space="0"/>
              <w:left w:val="single" w:color="000000" w:sz="8" w:space="0"/>
              <w:bottom w:val="single" w:color="000000" w:sz="8" w:space="0"/>
              <w:right w:val="single" w:color="000000" w:sz="8" w:space="0"/>
            </w:tcBorders>
          </w:tcPr>
          <w:p w14:paraId="1DD8F713">
            <w:pPr>
              <w:spacing w:before="100" w:after="0" w:line="240" w:lineRule="auto"/>
              <w:ind w:left="100" w:right="60"/>
              <w:jc w:val="both"/>
              <w:rPr>
                <w:rFonts w:ascii="Times New Roman" w:hAnsi="Times New Roman" w:eastAsia="Times New Roman" w:cs="Times New Roman"/>
                <w:lang w:val="pt-BR"/>
              </w:rPr>
            </w:pPr>
            <w:r>
              <w:rPr>
                <w:rFonts w:ascii="Times New Roman" w:hAnsi="Times New Roman" w:eastAsia="Times New Roman" w:cs="Times New Roman"/>
                <w:b/>
                <w:bCs/>
                <w:color w:val="000000"/>
                <w:lang w:val="pt-BR"/>
              </w:rPr>
              <w:t>Passo 1</w:t>
            </w:r>
          </w:p>
          <w:p w14:paraId="278B4967">
            <w:pPr>
              <w:spacing w:after="0" w:line="240" w:lineRule="auto"/>
              <w:ind w:left="120" w:right="60"/>
              <w:jc w:val="both"/>
              <w:rPr>
                <w:rFonts w:ascii="Times New Roman" w:hAnsi="Times New Roman" w:eastAsia="Times New Roman" w:cs="Times New Roman"/>
                <w:lang w:val="pt-BR"/>
              </w:rPr>
            </w:pPr>
            <w:r>
              <w:rPr>
                <w:rFonts w:ascii="Times New Roman" w:hAnsi="Times New Roman" w:eastAsia="Times New Roman" w:cs="Times New Roman"/>
                <w:b/>
                <w:bCs/>
                <w:color w:val="000000"/>
                <w:lang w:val="pt-BR"/>
              </w:rPr>
              <w:t xml:space="preserve">(1ª filtragem) </w:t>
            </w:r>
            <w:r>
              <w:rPr>
                <w:rFonts w:ascii="Times New Roman" w:hAnsi="Times New Roman" w:eastAsia="Times New Roman" w:cs="Times New Roman"/>
                <w:color w:val="000000"/>
                <w:lang w:val="pt-BR"/>
              </w:rPr>
              <w:t>Estudo selecionado à partir da ANÁLISE DOS TÍTULOS</w:t>
            </w:r>
          </w:p>
        </w:tc>
        <w:tc>
          <w:tcPr>
            <w:tcW w:w="0" w:type="auto"/>
            <w:tcBorders>
              <w:top w:val="single" w:color="000000" w:sz="8" w:space="0"/>
              <w:left w:val="single" w:color="000000" w:sz="8" w:space="0"/>
              <w:bottom w:val="single" w:color="000000" w:sz="8" w:space="0"/>
              <w:right w:val="single" w:color="000000" w:sz="8" w:space="0"/>
            </w:tcBorders>
          </w:tcPr>
          <w:p w14:paraId="258BC26C">
            <w:pPr>
              <w:spacing w:before="100" w:after="0" w:line="240" w:lineRule="auto"/>
              <w:ind w:left="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5</w:t>
            </w:r>
          </w:p>
        </w:tc>
        <w:tc>
          <w:tcPr>
            <w:tcW w:w="0" w:type="auto"/>
            <w:tcBorders>
              <w:top w:val="single" w:color="000000" w:sz="8" w:space="0"/>
              <w:left w:val="single" w:color="000000" w:sz="8" w:space="0"/>
              <w:bottom w:val="single" w:color="000000" w:sz="8" w:space="0"/>
              <w:right w:val="single" w:color="000000" w:sz="8" w:space="0"/>
            </w:tcBorders>
          </w:tcPr>
          <w:p w14:paraId="7DAE6014">
            <w:pPr>
              <w:spacing w:before="100" w:after="0" w:line="240" w:lineRule="auto"/>
              <w:ind w:left="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4</w:t>
            </w:r>
          </w:p>
        </w:tc>
        <w:tc>
          <w:tcPr>
            <w:tcW w:w="0" w:type="auto"/>
            <w:tcBorders>
              <w:top w:val="single" w:color="000000" w:sz="8" w:space="0"/>
              <w:left w:val="single" w:color="000000" w:sz="8" w:space="0"/>
              <w:bottom w:val="single" w:color="000000" w:sz="8" w:space="0"/>
              <w:right w:val="single" w:color="000000" w:sz="8" w:space="0"/>
            </w:tcBorders>
          </w:tcPr>
          <w:p w14:paraId="25A8DDF9">
            <w:pPr>
              <w:spacing w:before="100" w:after="0" w:line="240" w:lineRule="auto"/>
              <w:ind w:left="100" w:right="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2</w:t>
            </w:r>
          </w:p>
        </w:tc>
        <w:tc>
          <w:tcPr>
            <w:tcW w:w="0" w:type="auto"/>
            <w:tcBorders>
              <w:top w:val="single" w:color="000000" w:sz="8" w:space="0"/>
              <w:left w:val="single" w:color="000000" w:sz="8" w:space="0"/>
              <w:bottom w:val="single" w:color="000000" w:sz="8" w:space="0"/>
              <w:right w:val="single" w:color="000000" w:sz="8" w:space="0"/>
            </w:tcBorders>
          </w:tcPr>
          <w:p w14:paraId="5A5852ED">
            <w:pPr>
              <w:spacing w:before="100" w:after="0" w:line="240" w:lineRule="auto"/>
              <w:ind w:left="80" w:right="4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12</w:t>
            </w:r>
          </w:p>
        </w:tc>
      </w:tr>
      <w:tr w14:paraId="6A2B5235">
        <w:trPr>
          <w:trHeight w:val="300" w:hRule="atLeast"/>
        </w:trPr>
        <w:tc>
          <w:tcPr>
            <w:tcW w:w="0" w:type="auto"/>
            <w:tcBorders>
              <w:top w:val="single" w:color="000000" w:sz="8" w:space="0"/>
              <w:left w:val="single" w:color="000000" w:sz="8" w:space="0"/>
              <w:bottom w:val="single" w:color="000000" w:sz="8" w:space="0"/>
              <w:right w:val="single" w:color="000000" w:sz="8" w:space="0"/>
            </w:tcBorders>
          </w:tcPr>
          <w:p w14:paraId="7D477EC7">
            <w:pPr>
              <w:spacing w:before="100" w:after="0" w:line="240" w:lineRule="auto"/>
              <w:ind w:left="100" w:right="60"/>
              <w:jc w:val="both"/>
              <w:rPr>
                <w:rFonts w:ascii="Times New Roman" w:hAnsi="Times New Roman" w:eastAsia="Times New Roman" w:cs="Times New Roman"/>
                <w:lang w:val="pt-BR"/>
              </w:rPr>
            </w:pPr>
            <w:r>
              <w:rPr>
                <w:rFonts w:ascii="Times New Roman" w:hAnsi="Times New Roman" w:eastAsia="Times New Roman" w:cs="Times New Roman"/>
                <w:b/>
                <w:bCs/>
                <w:color w:val="000000"/>
                <w:lang w:val="pt-BR"/>
              </w:rPr>
              <w:t>Passe 2</w:t>
            </w:r>
          </w:p>
          <w:p w14:paraId="3AD7847D">
            <w:pPr>
              <w:spacing w:after="0" w:line="240" w:lineRule="auto"/>
              <w:ind w:left="160" w:right="120"/>
              <w:jc w:val="both"/>
              <w:rPr>
                <w:rFonts w:ascii="Times New Roman" w:hAnsi="Times New Roman" w:eastAsia="Times New Roman" w:cs="Times New Roman"/>
                <w:lang w:val="pt-BR"/>
              </w:rPr>
            </w:pPr>
            <w:r>
              <w:rPr>
                <w:rFonts w:ascii="Times New Roman" w:hAnsi="Times New Roman" w:eastAsia="Times New Roman" w:cs="Times New Roman"/>
                <w:b/>
                <w:bCs/>
                <w:color w:val="000000"/>
                <w:lang w:val="pt-BR"/>
              </w:rPr>
              <w:t xml:space="preserve">(2ª filtragem) </w:t>
            </w:r>
            <w:r>
              <w:rPr>
                <w:rFonts w:ascii="Times New Roman" w:hAnsi="Times New Roman" w:eastAsia="Times New Roman" w:cs="Times New Roman"/>
                <w:color w:val="000000"/>
                <w:lang w:val="pt-BR"/>
              </w:rPr>
              <w:t>Estudos selecionados a partir da ANÁLISE DOS RESUMOS</w:t>
            </w:r>
          </w:p>
        </w:tc>
        <w:tc>
          <w:tcPr>
            <w:tcW w:w="0" w:type="auto"/>
            <w:tcBorders>
              <w:top w:val="single" w:color="000000" w:sz="8" w:space="0"/>
              <w:left w:val="single" w:color="000000" w:sz="8" w:space="0"/>
              <w:bottom w:val="single" w:color="000000" w:sz="8" w:space="0"/>
              <w:right w:val="single" w:color="000000" w:sz="8" w:space="0"/>
            </w:tcBorders>
          </w:tcPr>
          <w:p w14:paraId="79029456">
            <w:pPr>
              <w:spacing w:before="100" w:after="0" w:line="240" w:lineRule="auto"/>
              <w:ind w:left="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5</w:t>
            </w:r>
          </w:p>
        </w:tc>
        <w:tc>
          <w:tcPr>
            <w:tcW w:w="0" w:type="auto"/>
            <w:tcBorders>
              <w:top w:val="single" w:color="000000" w:sz="8" w:space="0"/>
              <w:left w:val="single" w:color="000000" w:sz="8" w:space="0"/>
              <w:bottom w:val="single" w:color="000000" w:sz="8" w:space="0"/>
              <w:right w:val="single" w:color="000000" w:sz="8" w:space="0"/>
            </w:tcBorders>
          </w:tcPr>
          <w:p w14:paraId="73019AC7">
            <w:pPr>
              <w:spacing w:before="100" w:after="0" w:line="240" w:lineRule="auto"/>
              <w:ind w:left="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4</w:t>
            </w:r>
          </w:p>
        </w:tc>
        <w:tc>
          <w:tcPr>
            <w:tcW w:w="0" w:type="auto"/>
            <w:tcBorders>
              <w:top w:val="single" w:color="000000" w:sz="8" w:space="0"/>
              <w:left w:val="single" w:color="000000" w:sz="8" w:space="0"/>
              <w:bottom w:val="single" w:color="000000" w:sz="8" w:space="0"/>
              <w:right w:val="single" w:color="000000" w:sz="8" w:space="0"/>
            </w:tcBorders>
          </w:tcPr>
          <w:p w14:paraId="1F9BC818">
            <w:pPr>
              <w:spacing w:before="100" w:after="0" w:line="240" w:lineRule="auto"/>
              <w:ind w:left="100" w:right="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2</w:t>
            </w:r>
          </w:p>
        </w:tc>
        <w:tc>
          <w:tcPr>
            <w:tcW w:w="0" w:type="auto"/>
            <w:tcBorders>
              <w:top w:val="single" w:color="000000" w:sz="8" w:space="0"/>
              <w:left w:val="single" w:color="000000" w:sz="8" w:space="0"/>
              <w:bottom w:val="single" w:color="000000" w:sz="8" w:space="0"/>
              <w:right w:val="single" w:color="000000" w:sz="8" w:space="0"/>
            </w:tcBorders>
          </w:tcPr>
          <w:p w14:paraId="365807AD">
            <w:pPr>
              <w:spacing w:before="100" w:after="0" w:line="240" w:lineRule="auto"/>
              <w:ind w:left="80" w:right="4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12</w:t>
            </w:r>
          </w:p>
        </w:tc>
      </w:tr>
      <w:tr w14:paraId="5FB09EF5">
        <w:trPr>
          <w:trHeight w:val="600" w:hRule="atLeast"/>
        </w:trPr>
        <w:tc>
          <w:tcPr>
            <w:tcW w:w="0" w:type="auto"/>
            <w:tcBorders>
              <w:top w:val="single" w:color="000000" w:sz="8" w:space="0"/>
              <w:left w:val="single" w:color="000000" w:sz="8" w:space="0"/>
              <w:bottom w:val="single" w:color="000000" w:sz="8" w:space="0"/>
              <w:right w:val="single" w:color="000000" w:sz="8" w:space="0"/>
            </w:tcBorders>
          </w:tcPr>
          <w:p w14:paraId="1AFDBDB5">
            <w:pPr>
              <w:spacing w:before="100" w:after="0" w:line="240" w:lineRule="auto"/>
              <w:ind w:left="100" w:right="60"/>
              <w:jc w:val="both"/>
              <w:rPr>
                <w:rFonts w:ascii="Times New Roman" w:hAnsi="Times New Roman" w:eastAsia="Times New Roman" w:cs="Times New Roman"/>
                <w:lang w:val="pt-BR"/>
              </w:rPr>
            </w:pPr>
            <w:r>
              <w:rPr>
                <w:rFonts w:ascii="Times New Roman" w:hAnsi="Times New Roman" w:eastAsia="Times New Roman" w:cs="Times New Roman"/>
                <w:b/>
                <w:bCs/>
                <w:color w:val="000000"/>
                <w:lang w:val="pt-BR"/>
              </w:rPr>
              <w:t>Passe 3</w:t>
            </w:r>
          </w:p>
          <w:p w14:paraId="1363854D">
            <w:pPr>
              <w:spacing w:after="0" w:line="240" w:lineRule="auto"/>
              <w:ind w:left="160" w:right="120"/>
              <w:jc w:val="both"/>
              <w:rPr>
                <w:rFonts w:ascii="Times New Roman" w:hAnsi="Times New Roman" w:eastAsia="Times New Roman" w:cs="Times New Roman"/>
                <w:lang w:val="pt-BR"/>
              </w:rPr>
            </w:pPr>
            <w:r>
              <w:rPr>
                <w:rFonts w:ascii="Times New Roman" w:hAnsi="Times New Roman" w:eastAsia="Times New Roman" w:cs="Times New Roman"/>
                <w:b/>
                <w:bCs/>
                <w:color w:val="000000"/>
                <w:lang w:val="pt-BR"/>
              </w:rPr>
              <w:t xml:space="preserve">(3ª filtragem) </w:t>
            </w:r>
            <w:r>
              <w:rPr>
                <w:rFonts w:ascii="Times New Roman" w:hAnsi="Times New Roman" w:eastAsia="Times New Roman" w:cs="Times New Roman"/>
                <w:color w:val="000000"/>
                <w:lang w:val="pt-BR"/>
              </w:rPr>
              <w:t>Estudos selecionados a partir da ANÁLISE DOS TEXTOS COMPLETOS</w:t>
            </w:r>
          </w:p>
        </w:tc>
        <w:tc>
          <w:tcPr>
            <w:tcW w:w="0" w:type="auto"/>
            <w:tcBorders>
              <w:top w:val="single" w:color="000000" w:sz="8" w:space="0"/>
              <w:left w:val="single" w:color="000000" w:sz="8" w:space="0"/>
              <w:bottom w:val="single" w:color="000000" w:sz="8" w:space="0"/>
              <w:right w:val="single" w:color="000000" w:sz="8" w:space="0"/>
            </w:tcBorders>
          </w:tcPr>
          <w:p w14:paraId="6BFD8574">
            <w:pPr>
              <w:spacing w:before="100" w:after="0" w:line="240" w:lineRule="auto"/>
              <w:ind w:left="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2</w:t>
            </w:r>
          </w:p>
        </w:tc>
        <w:tc>
          <w:tcPr>
            <w:tcW w:w="0" w:type="auto"/>
            <w:tcBorders>
              <w:top w:val="single" w:color="000000" w:sz="8" w:space="0"/>
              <w:left w:val="single" w:color="000000" w:sz="8" w:space="0"/>
              <w:bottom w:val="single" w:color="000000" w:sz="8" w:space="0"/>
              <w:right w:val="single" w:color="000000" w:sz="8" w:space="0"/>
            </w:tcBorders>
          </w:tcPr>
          <w:p w14:paraId="77F5B2F7">
            <w:pPr>
              <w:spacing w:before="100" w:after="0" w:line="240" w:lineRule="auto"/>
              <w:ind w:left="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1</w:t>
            </w:r>
          </w:p>
        </w:tc>
        <w:tc>
          <w:tcPr>
            <w:tcW w:w="0" w:type="auto"/>
            <w:tcBorders>
              <w:top w:val="single" w:color="000000" w:sz="8" w:space="0"/>
              <w:left w:val="single" w:color="000000" w:sz="8" w:space="0"/>
              <w:bottom w:val="single" w:color="000000" w:sz="8" w:space="0"/>
              <w:right w:val="single" w:color="000000" w:sz="8" w:space="0"/>
            </w:tcBorders>
          </w:tcPr>
          <w:p w14:paraId="27DFA970">
            <w:pPr>
              <w:spacing w:before="100" w:after="0" w:line="240" w:lineRule="auto"/>
              <w:ind w:left="100" w:right="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2</w:t>
            </w:r>
          </w:p>
        </w:tc>
        <w:tc>
          <w:tcPr>
            <w:tcW w:w="0" w:type="auto"/>
            <w:tcBorders>
              <w:top w:val="single" w:color="000000" w:sz="8" w:space="0"/>
              <w:left w:val="single" w:color="000000" w:sz="8" w:space="0"/>
              <w:bottom w:val="single" w:color="000000" w:sz="8" w:space="0"/>
              <w:right w:val="single" w:color="000000" w:sz="8" w:space="0"/>
            </w:tcBorders>
          </w:tcPr>
          <w:p w14:paraId="4A740355">
            <w:pPr>
              <w:spacing w:before="100" w:after="0" w:line="240" w:lineRule="auto"/>
              <w:ind w:left="80" w:right="4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8</w:t>
            </w:r>
          </w:p>
        </w:tc>
      </w:tr>
      <w:tr w14:paraId="4BB35FC2">
        <w:trPr>
          <w:trHeight w:val="330" w:hRule="atLeast"/>
        </w:trPr>
        <w:tc>
          <w:tcPr>
            <w:tcW w:w="0" w:type="auto"/>
            <w:tcBorders>
              <w:top w:val="single" w:color="000000" w:sz="8" w:space="0"/>
              <w:left w:val="single" w:color="000000" w:sz="8" w:space="0"/>
              <w:bottom w:val="single" w:color="000000" w:sz="8" w:space="0"/>
              <w:right w:val="single" w:color="000000" w:sz="8" w:space="0"/>
            </w:tcBorders>
          </w:tcPr>
          <w:p w14:paraId="15CEF6FF">
            <w:pPr>
              <w:spacing w:before="120" w:after="0" w:line="240" w:lineRule="auto"/>
              <w:ind w:left="100" w:right="60"/>
              <w:jc w:val="both"/>
              <w:rPr>
                <w:rFonts w:ascii="Times New Roman" w:hAnsi="Times New Roman" w:eastAsia="Times New Roman" w:cs="Times New Roman"/>
                <w:lang w:val="pt-BR"/>
              </w:rPr>
            </w:pPr>
            <w:r>
              <w:rPr>
                <w:rFonts w:ascii="Times New Roman" w:hAnsi="Times New Roman" w:eastAsia="Times New Roman" w:cs="Times New Roman"/>
                <w:b/>
                <w:bCs/>
                <w:color w:val="000000"/>
                <w:lang w:val="pt-BR"/>
              </w:rPr>
              <w:t>Passo 4</w:t>
            </w:r>
          </w:p>
          <w:p w14:paraId="3FE64DE2">
            <w:pPr>
              <w:spacing w:after="0" w:line="240" w:lineRule="auto"/>
              <w:ind w:left="100" w:right="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Exclusão de estudos de acordo com os critérios de elegibilidade</w:t>
            </w:r>
          </w:p>
        </w:tc>
        <w:tc>
          <w:tcPr>
            <w:tcW w:w="0" w:type="auto"/>
            <w:tcBorders>
              <w:top w:val="single" w:color="000000" w:sz="8" w:space="0"/>
              <w:left w:val="single" w:color="000000" w:sz="8" w:space="0"/>
              <w:bottom w:val="single" w:color="000000" w:sz="8" w:space="0"/>
              <w:right w:val="single" w:color="000000" w:sz="8" w:space="0"/>
            </w:tcBorders>
          </w:tcPr>
          <w:p w14:paraId="0146A841">
            <w:pPr>
              <w:spacing w:before="120" w:after="0" w:line="240" w:lineRule="auto"/>
              <w:ind w:left="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3</w:t>
            </w:r>
          </w:p>
        </w:tc>
        <w:tc>
          <w:tcPr>
            <w:tcW w:w="0" w:type="auto"/>
            <w:tcBorders>
              <w:top w:val="single" w:color="000000" w:sz="8" w:space="0"/>
              <w:left w:val="single" w:color="000000" w:sz="8" w:space="0"/>
              <w:bottom w:val="single" w:color="000000" w:sz="8" w:space="0"/>
              <w:right w:val="single" w:color="000000" w:sz="8" w:space="0"/>
            </w:tcBorders>
          </w:tcPr>
          <w:p w14:paraId="0EB16E3A">
            <w:pPr>
              <w:spacing w:before="120" w:after="0" w:line="240" w:lineRule="auto"/>
              <w:ind w:left="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3</w:t>
            </w:r>
          </w:p>
        </w:tc>
        <w:tc>
          <w:tcPr>
            <w:tcW w:w="0" w:type="auto"/>
            <w:tcBorders>
              <w:top w:val="single" w:color="000000" w:sz="8" w:space="0"/>
              <w:left w:val="single" w:color="000000" w:sz="8" w:space="0"/>
              <w:bottom w:val="single" w:color="000000" w:sz="8" w:space="0"/>
              <w:right w:val="single" w:color="000000" w:sz="8" w:space="0"/>
            </w:tcBorders>
          </w:tcPr>
          <w:p w14:paraId="47DE6BC8">
            <w:pPr>
              <w:spacing w:before="120" w:after="0" w:line="240" w:lineRule="auto"/>
              <w:ind w:left="100" w:right="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0</w:t>
            </w:r>
          </w:p>
        </w:tc>
        <w:tc>
          <w:tcPr>
            <w:tcW w:w="0" w:type="auto"/>
            <w:tcBorders>
              <w:top w:val="single" w:color="000000" w:sz="8" w:space="0"/>
              <w:left w:val="single" w:color="000000" w:sz="8" w:space="0"/>
              <w:bottom w:val="single" w:color="000000" w:sz="8" w:space="0"/>
              <w:right w:val="single" w:color="000000" w:sz="8" w:space="0"/>
            </w:tcBorders>
          </w:tcPr>
          <w:p w14:paraId="3AD9AC4A">
            <w:pPr>
              <w:spacing w:before="120" w:after="0" w:line="240" w:lineRule="auto"/>
              <w:ind w:left="80" w:right="4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4</w:t>
            </w:r>
          </w:p>
        </w:tc>
      </w:tr>
      <w:tr w14:paraId="356F63D4">
        <w:trPr>
          <w:trHeight w:val="255" w:hRule="atLeast"/>
        </w:trPr>
        <w:tc>
          <w:tcPr>
            <w:tcW w:w="0" w:type="auto"/>
            <w:tcBorders>
              <w:top w:val="single" w:color="000000" w:sz="8" w:space="0"/>
              <w:left w:val="single" w:color="000000" w:sz="8" w:space="0"/>
              <w:bottom w:val="single" w:color="000000" w:sz="8" w:space="0"/>
              <w:right w:val="single" w:color="000000" w:sz="8" w:space="0"/>
            </w:tcBorders>
          </w:tcPr>
          <w:p w14:paraId="3B6D7D41">
            <w:pPr>
              <w:spacing w:before="100" w:after="0" w:line="240" w:lineRule="auto"/>
              <w:ind w:left="100" w:right="60"/>
              <w:jc w:val="both"/>
              <w:rPr>
                <w:rFonts w:ascii="Times New Roman" w:hAnsi="Times New Roman" w:eastAsia="Times New Roman" w:cs="Times New Roman"/>
                <w:lang w:val="pt-BR"/>
              </w:rPr>
            </w:pPr>
            <w:r>
              <w:rPr>
                <w:rFonts w:ascii="Times New Roman" w:hAnsi="Times New Roman" w:eastAsia="Times New Roman" w:cs="Times New Roman"/>
                <w:b/>
                <w:bCs/>
                <w:color w:val="000000"/>
                <w:lang w:val="pt-BR"/>
              </w:rPr>
              <w:t>Passo 5</w:t>
            </w:r>
          </w:p>
          <w:p w14:paraId="726AF00A">
            <w:pPr>
              <w:spacing w:after="0" w:line="240" w:lineRule="auto"/>
              <w:ind w:left="100" w:right="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Exclusão de estudo duplicados</w:t>
            </w:r>
          </w:p>
        </w:tc>
        <w:tc>
          <w:tcPr>
            <w:tcW w:w="0" w:type="auto"/>
            <w:tcBorders>
              <w:top w:val="single" w:color="000000" w:sz="8" w:space="0"/>
              <w:left w:val="single" w:color="000000" w:sz="8" w:space="0"/>
              <w:bottom w:val="single" w:color="000000" w:sz="8" w:space="0"/>
              <w:right w:val="single" w:color="000000" w:sz="8" w:space="0"/>
            </w:tcBorders>
          </w:tcPr>
          <w:p w14:paraId="0B87B023">
            <w:pPr>
              <w:spacing w:before="100" w:after="0" w:line="240" w:lineRule="auto"/>
              <w:ind w:left="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0</w:t>
            </w:r>
          </w:p>
        </w:tc>
        <w:tc>
          <w:tcPr>
            <w:tcW w:w="0" w:type="auto"/>
            <w:tcBorders>
              <w:top w:val="single" w:color="000000" w:sz="8" w:space="0"/>
              <w:left w:val="single" w:color="000000" w:sz="8" w:space="0"/>
              <w:bottom w:val="single" w:color="000000" w:sz="8" w:space="0"/>
              <w:right w:val="single" w:color="000000" w:sz="8" w:space="0"/>
            </w:tcBorders>
          </w:tcPr>
          <w:p w14:paraId="6F7CF5F8">
            <w:pPr>
              <w:spacing w:before="100" w:after="0" w:line="240" w:lineRule="auto"/>
              <w:ind w:left="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0</w:t>
            </w:r>
          </w:p>
        </w:tc>
        <w:tc>
          <w:tcPr>
            <w:tcW w:w="0" w:type="auto"/>
            <w:tcBorders>
              <w:top w:val="single" w:color="000000" w:sz="8" w:space="0"/>
              <w:left w:val="single" w:color="000000" w:sz="8" w:space="0"/>
              <w:bottom w:val="single" w:color="000000" w:sz="8" w:space="0"/>
              <w:right w:val="single" w:color="000000" w:sz="8" w:space="0"/>
            </w:tcBorders>
          </w:tcPr>
          <w:p w14:paraId="27F52155">
            <w:pPr>
              <w:spacing w:before="100" w:after="0" w:line="240" w:lineRule="auto"/>
              <w:ind w:left="100" w:right="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0</w:t>
            </w:r>
          </w:p>
        </w:tc>
        <w:tc>
          <w:tcPr>
            <w:tcW w:w="0" w:type="auto"/>
            <w:tcBorders>
              <w:top w:val="single" w:color="000000" w:sz="8" w:space="0"/>
              <w:left w:val="single" w:color="000000" w:sz="8" w:space="0"/>
              <w:bottom w:val="single" w:color="000000" w:sz="8" w:space="0"/>
              <w:right w:val="single" w:color="000000" w:sz="8" w:space="0"/>
            </w:tcBorders>
          </w:tcPr>
          <w:p w14:paraId="020C85A3">
            <w:pPr>
              <w:spacing w:before="100" w:after="0" w:line="240" w:lineRule="auto"/>
              <w:ind w:left="80" w:right="4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0</w:t>
            </w:r>
          </w:p>
        </w:tc>
      </w:tr>
      <w:tr w14:paraId="0DED5C3E">
        <w:tc>
          <w:tcPr>
            <w:tcW w:w="0" w:type="auto"/>
            <w:tcBorders>
              <w:top w:val="single" w:color="000000" w:sz="8" w:space="0"/>
              <w:left w:val="single" w:color="000000" w:sz="8" w:space="0"/>
              <w:bottom w:val="single" w:color="000000" w:sz="8" w:space="0"/>
              <w:right w:val="single" w:color="000000" w:sz="8" w:space="0"/>
            </w:tcBorders>
            <w:shd w:val="clear" w:color="auto" w:fill="A3C2F4"/>
          </w:tcPr>
          <w:p w14:paraId="0D559CE7">
            <w:pPr>
              <w:spacing w:before="120" w:after="0" w:line="240" w:lineRule="auto"/>
              <w:jc w:val="both"/>
              <w:rPr>
                <w:rFonts w:ascii="Times New Roman" w:hAnsi="Times New Roman" w:eastAsia="Times New Roman" w:cs="Times New Roman"/>
                <w:lang w:val="pt-BR"/>
              </w:rPr>
            </w:pPr>
            <w:r>
              <w:rPr>
                <w:rFonts w:ascii="Times New Roman" w:hAnsi="Times New Roman" w:eastAsia="Times New Roman" w:cs="Times New Roman"/>
                <w:b/>
                <w:bCs/>
                <w:color w:val="000000"/>
                <w:lang w:val="pt-BR"/>
              </w:rPr>
              <w:t>Subtotal de estudos incluídos por base</w:t>
            </w:r>
          </w:p>
        </w:tc>
        <w:tc>
          <w:tcPr>
            <w:tcW w:w="0" w:type="auto"/>
            <w:tcBorders>
              <w:top w:val="single" w:color="000000" w:sz="8" w:space="0"/>
              <w:left w:val="single" w:color="000000" w:sz="8" w:space="0"/>
              <w:bottom w:val="single" w:color="000000" w:sz="8" w:space="0"/>
              <w:right w:val="single" w:color="000000" w:sz="8" w:space="0"/>
            </w:tcBorders>
            <w:shd w:val="clear" w:color="auto" w:fill="A3C2F4"/>
          </w:tcPr>
          <w:p w14:paraId="28710F14">
            <w:pPr>
              <w:spacing w:before="120" w:after="0" w:line="240" w:lineRule="auto"/>
              <w:ind w:left="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2</w:t>
            </w:r>
          </w:p>
        </w:tc>
        <w:tc>
          <w:tcPr>
            <w:tcW w:w="0" w:type="auto"/>
            <w:tcBorders>
              <w:top w:val="single" w:color="000000" w:sz="8" w:space="0"/>
              <w:left w:val="single" w:color="000000" w:sz="8" w:space="0"/>
              <w:bottom w:val="single" w:color="000000" w:sz="8" w:space="0"/>
              <w:right w:val="single" w:color="000000" w:sz="8" w:space="0"/>
            </w:tcBorders>
            <w:shd w:val="clear" w:color="auto" w:fill="A3C2F4"/>
          </w:tcPr>
          <w:p w14:paraId="145C3ED8">
            <w:pPr>
              <w:spacing w:before="120" w:after="0" w:line="240" w:lineRule="auto"/>
              <w:ind w:left="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1</w:t>
            </w:r>
          </w:p>
        </w:tc>
        <w:tc>
          <w:tcPr>
            <w:tcW w:w="0" w:type="auto"/>
            <w:tcBorders>
              <w:top w:val="single" w:color="000000" w:sz="8" w:space="0"/>
              <w:left w:val="single" w:color="000000" w:sz="8" w:space="0"/>
              <w:bottom w:val="single" w:color="000000" w:sz="8" w:space="0"/>
              <w:right w:val="single" w:color="000000" w:sz="8" w:space="0"/>
            </w:tcBorders>
            <w:shd w:val="clear" w:color="auto" w:fill="A3C2F4"/>
          </w:tcPr>
          <w:p w14:paraId="31E3B05F">
            <w:pPr>
              <w:spacing w:before="120" w:after="0" w:line="240" w:lineRule="auto"/>
              <w:ind w:left="100" w:right="6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2</w:t>
            </w:r>
          </w:p>
        </w:tc>
        <w:tc>
          <w:tcPr>
            <w:tcW w:w="0" w:type="auto"/>
            <w:tcBorders>
              <w:top w:val="single" w:color="000000" w:sz="8" w:space="0"/>
              <w:left w:val="single" w:color="000000" w:sz="8" w:space="0"/>
              <w:bottom w:val="single" w:color="000000" w:sz="8" w:space="0"/>
              <w:right w:val="single" w:color="000000" w:sz="8" w:space="0"/>
            </w:tcBorders>
            <w:shd w:val="clear" w:color="auto" w:fill="A3C2F4"/>
          </w:tcPr>
          <w:p w14:paraId="06F2066E">
            <w:pPr>
              <w:spacing w:before="120" w:after="0" w:line="240" w:lineRule="auto"/>
              <w:ind w:left="80" w:right="40"/>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8</w:t>
            </w:r>
          </w:p>
        </w:tc>
      </w:tr>
    </w:tbl>
    <w:p w14:paraId="7C1E3174">
      <w:p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ascii="Times New Roman" w:hAnsi="Times New Roman" w:eastAsia="Times New Roman" w:cs="Times New Roman"/>
          <w:i/>
          <w:iCs/>
          <w:color w:val="221E1F"/>
        </w:rPr>
      </w:pPr>
      <w:r>
        <w:rPr>
          <w:rFonts w:ascii="Times New Roman" w:hAnsi="Times New Roman" w:eastAsia="Times New Roman" w:cs="Times New Roman"/>
          <w:i/>
          <w:iCs/>
          <w:color w:val="221E1F"/>
        </w:rPr>
        <w:t>Fonte: Tabela elaborada pelos autores.</w:t>
      </w:r>
    </w:p>
    <w:p w14:paraId="3C2CBD23">
      <w:pPr>
        <w:pBdr>
          <w:top w:val="none" w:color="auto" w:sz="0" w:space="0"/>
          <w:left w:val="none" w:color="auto" w:sz="0" w:space="0"/>
          <w:bottom w:val="none" w:color="auto" w:sz="0" w:space="0"/>
          <w:right w:val="none" w:color="auto" w:sz="0" w:space="0"/>
          <w:between w:val="none" w:color="auto" w:sz="0" w:space="0"/>
        </w:pBdr>
        <w:spacing w:before="240" w:after="0" w:line="360" w:lineRule="auto"/>
        <w:ind w:firstLine="280"/>
        <w:jc w:val="both"/>
        <w:rPr>
          <w:rFonts w:ascii="Times New Roman" w:hAnsi="Times New Roman" w:eastAsia="Times New Roman" w:cs="Times New Roman"/>
          <w:color w:val="221E1F"/>
          <w:sz w:val="24"/>
          <w:szCs w:val="24"/>
        </w:rPr>
      </w:pPr>
      <w:r>
        <w:rPr>
          <w:rFonts w:ascii="Times New Roman" w:hAnsi="Times New Roman" w:eastAsia="Times New Roman" w:cs="Times New Roman"/>
          <w:color w:val="221E1F"/>
          <w:sz w:val="24"/>
          <w:szCs w:val="24"/>
        </w:rPr>
        <w:t>Nesse contexto, os artigos abaixo na tabela 3 se encaixam nos nossos critérios de relevância e temática e, por conta disso, formaram o corpus utilizado na pesquisa.</w:t>
      </w:r>
    </w:p>
    <w:p w14:paraId="4F63FC88">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rPr>
      </w:pPr>
    </w:p>
    <w:p w14:paraId="100A26F7">
      <w:pPr>
        <w:pBdr>
          <w:top w:val="none" w:color="auto" w:sz="0" w:space="0"/>
          <w:left w:val="none" w:color="auto" w:sz="0" w:space="0"/>
          <w:bottom w:val="none" w:color="auto" w:sz="0" w:space="0"/>
          <w:right w:val="none" w:color="auto" w:sz="0" w:space="0"/>
          <w:between w:val="none" w:color="auto" w:sz="0" w:space="0"/>
        </w:pBdr>
        <w:spacing w:after="0" w:line="360" w:lineRule="auto"/>
        <w:rPr>
          <w:rFonts w:ascii="Times New Roman" w:hAnsi="Times New Roman" w:eastAsia="Times New Roman" w:cs="Times New Roman"/>
          <w:color w:val="221E1F"/>
        </w:rPr>
      </w:pPr>
      <w:r>
        <w:rPr>
          <w:rFonts w:ascii="Times New Roman" w:hAnsi="Times New Roman" w:eastAsia="Times New Roman" w:cs="Times New Roman"/>
          <w:b/>
          <w:bCs/>
          <w:color w:val="221E1F"/>
        </w:rPr>
        <w:t>Tabela 3</w:t>
      </w:r>
      <w:r>
        <w:rPr>
          <w:rFonts w:ascii="Times New Roman" w:hAnsi="Times New Roman" w:eastAsia="Times New Roman" w:cs="Times New Roman"/>
          <w:color w:val="221E1F"/>
        </w:rPr>
        <w:t xml:space="preserve"> </w:t>
      </w:r>
      <w:r>
        <w:rPr>
          <w:rFonts w:ascii="Times New Roman" w:hAnsi="Times New Roman" w:eastAsia="Times New Roman" w:cs="Times New Roman"/>
          <w:i/>
          <w:iCs/>
          <w:color w:val="221E1F"/>
        </w:rPr>
        <w:t>O corpus da pesquisa</w:t>
      </w:r>
    </w:p>
    <w:tbl>
      <w:tblPr>
        <w:tblStyle w:val="9"/>
        <w:tblW w:w="0" w:type="auto"/>
        <w:tblInd w:w="0" w:type="dxa"/>
        <w:tblLayout w:type="autofit"/>
        <w:tblCellMar>
          <w:top w:w="15" w:type="dxa"/>
          <w:left w:w="15" w:type="dxa"/>
          <w:bottom w:w="15" w:type="dxa"/>
          <w:right w:w="15" w:type="dxa"/>
        </w:tblCellMar>
      </w:tblPr>
      <w:tblGrid>
        <w:gridCol w:w="2683"/>
        <w:gridCol w:w="1542"/>
        <w:gridCol w:w="470"/>
        <w:gridCol w:w="3924"/>
      </w:tblGrid>
      <w:tr w14:paraId="168EDC40">
        <w:trPr>
          <w:trHeight w:val="274" w:hRule="atLeast"/>
        </w:trPr>
        <w:tc>
          <w:tcPr>
            <w:tcW w:w="0" w:type="auto"/>
            <w:tcBorders>
              <w:top w:val="single" w:color="000000" w:sz="8" w:space="0"/>
              <w:left w:val="single" w:color="000000" w:sz="8" w:space="0"/>
              <w:bottom w:val="single" w:color="000000" w:sz="8" w:space="0"/>
              <w:right w:val="single" w:color="000000" w:sz="8" w:space="0"/>
            </w:tcBorders>
            <w:shd w:val="clear" w:color="auto" w:fill="D9D9D9"/>
            <w:tcMar>
              <w:top w:w="100" w:type="dxa"/>
              <w:left w:w="100" w:type="dxa"/>
              <w:bottom w:w="100" w:type="dxa"/>
              <w:right w:w="100" w:type="dxa"/>
            </w:tcMar>
          </w:tcPr>
          <w:p w14:paraId="450A932F">
            <w:pPr>
              <w:spacing w:after="0" w:line="240" w:lineRule="auto"/>
              <w:jc w:val="center"/>
              <w:rPr>
                <w:rFonts w:ascii="Times New Roman" w:hAnsi="Times New Roman" w:eastAsia="Times New Roman" w:cs="Times New Roman"/>
                <w:lang w:val="pt-BR"/>
              </w:rPr>
            </w:pPr>
            <w:r>
              <w:rPr>
                <w:rFonts w:ascii="Times New Roman" w:hAnsi="Times New Roman" w:eastAsia="Times New Roman" w:cs="Times New Roman"/>
                <w:color w:val="000000"/>
                <w:lang w:val="pt-BR"/>
              </w:rPr>
              <w:t>Título</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100" w:type="dxa"/>
              <w:left w:w="100" w:type="dxa"/>
              <w:bottom w:w="100" w:type="dxa"/>
              <w:right w:w="100" w:type="dxa"/>
            </w:tcMar>
          </w:tcPr>
          <w:p w14:paraId="41BD4F0F">
            <w:pPr>
              <w:spacing w:after="0" w:line="240" w:lineRule="auto"/>
              <w:jc w:val="center"/>
              <w:rPr>
                <w:rFonts w:ascii="Times New Roman" w:hAnsi="Times New Roman" w:eastAsia="Times New Roman" w:cs="Times New Roman"/>
                <w:lang w:val="pt-BR"/>
              </w:rPr>
            </w:pPr>
            <w:r>
              <w:rPr>
                <w:rFonts w:ascii="Times New Roman" w:hAnsi="Times New Roman" w:eastAsia="Times New Roman" w:cs="Times New Roman"/>
                <w:color w:val="000000"/>
                <w:lang w:val="pt-BR"/>
              </w:rPr>
              <w:t>Autores</w:t>
            </w:r>
          </w:p>
        </w:tc>
        <w:tc>
          <w:tcPr>
            <w:tcW w:w="0" w:type="auto"/>
            <w:tcBorders>
              <w:top w:val="single" w:color="000000" w:sz="8" w:space="0"/>
              <w:left w:val="single" w:color="000000" w:sz="8" w:space="0"/>
              <w:bottom w:val="single" w:color="000000" w:sz="8" w:space="0"/>
              <w:right w:val="single" w:color="000000" w:sz="8" w:space="0"/>
            </w:tcBorders>
            <w:shd w:val="clear" w:color="auto" w:fill="D9D9D9"/>
          </w:tcPr>
          <w:p w14:paraId="39C64399">
            <w:pPr>
              <w:spacing w:after="0" w:line="240" w:lineRule="auto"/>
              <w:jc w:val="center"/>
              <w:rPr>
                <w:rFonts w:ascii="Times New Roman" w:hAnsi="Times New Roman" w:eastAsia="Times New Roman" w:cs="Times New Roman"/>
                <w:color w:val="000000"/>
                <w:lang w:val="pt-BR"/>
              </w:rPr>
            </w:pPr>
            <w:r>
              <w:rPr>
                <w:rFonts w:ascii="Times New Roman" w:hAnsi="Times New Roman" w:eastAsia="Times New Roman" w:cs="Times New Roman"/>
                <w:color w:val="000000"/>
                <w:lang w:val="pt-BR"/>
              </w:rPr>
              <w:t>Ano</w:t>
            </w:r>
          </w:p>
        </w:tc>
        <w:tc>
          <w:tcPr>
            <w:tcW w:w="0" w:type="auto"/>
            <w:tcBorders>
              <w:top w:val="single" w:color="000000" w:sz="8" w:space="0"/>
              <w:left w:val="single" w:color="000000" w:sz="8" w:space="0"/>
              <w:bottom w:val="single" w:color="000000" w:sz="8" w:space="0"/>
              <w:right w:val="single" w:color="000000" w:sz="8" w:space="0"/>
            </w:tcBorders>
            <w:shd w:val="clear" w:color="auto" w:fill="D9D9D9"/>
          </w:tcPr>
          <w:p w14:paraId="44CC8741">
            <w:pPr>
              <w:spacing w:after="0" w:line="240" w:lineRule="auto"/>
              <w:jc w:val="center"/>
              <w:rPr>
                <w:rFonts w:ascii="Times New Roman" w:hAnsi="Times New Roman" w:eastAsia="Times New Roman" w:cs="Times New Roman"/>
                <w:color w:val="000000"/>
                <w:lang w:val="pt-BR"/>
              </w:rPr>
            </w:pPr>
            <w:r>
              <w:rPr>
                <w:rFonts w:ascii="Times New Roman" w:hAnsi="Times New Roman" w:eastAsia="Times New Roman" w:cs="Times New Roman"/>
                <w:color w:val="000000"/>
                <w:lang w:val="pt-BR"/>
              </w:rPr>
              <w:t>Principais Resultados</w:t>
            </w:r>
          </w:p>
        </w:tc>
      </w:tr>
      <w:tr w14:paraId="2921F22C">
        <w:trPr>
          <w:trHeight w:val="1677" w:hRule="atLeast"/>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1A44903">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Garantindo o direito à educação para todos: Abordagens para eliminar barreiras baseadas em gênero, deficiência e condição socioeconômica em 193 países.</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691AFB1">
            <w:pPr>
              <w:spacing w:after="0" w:line="240" w:lineRule="auto"/>
              <w:jc w:val="both"/>
              <w:rPr>
                <w:rFonts w:ascii="Times New Roman" w:hAnsi="Times New Roman" w:eastAsia="Times New Roman" w:cs="Times New Roman"/>
                <w:lang w:val="zh-CN"/>
              </w:rPr>
            </w:pPr>
            <w:r>
              <w:rPr>
                <w:rFonts w:ascii="Times New Roman" w:hAnsi="Times New Roman" w:eastAsia="Times New Roman" w:cs="Times New Roman"/>
                <w:color w:val="000000"/>
                <w:lang w:val="zh-CN"/>
              </w:rPr>
              <w:t>Callahan Moriyasu,</w:t>
            </w:r>
          </w:p>
          <w:p w14:paraId="6E0DC43C">
            <w:pPr>
              <w:spacing w:after="0" w:line="240" w:lineRule="auto"/>
              <w:jc w:val="both"/>
              <w:rPr>
                <w:rFonts w:ascii="Times New Roman" w:hAnsi="Times New Roman" w:eastAsia="Times New Roman" w:cs="Times New Roman"/>
                <w:lang w:val="zh-CN"/>
              </w:rPr>
            </w:pPr>
            <w:r>
              <w:rPr>
                <w:rFonts w:ascii="Times New Roman" w:hAnsi="Times New Roman" w:eastAsia="Times New Roman" w:cs="Times New Roman"/>
                <w:color w:val="000000"/>
                <w:lang w:val="zh-CN"/>
              </w:rPr>
              <w:t>Adele Cassola,</w:t>
            </w:r>
          </w:p>
          <w:p w14:paraId="212E1A36">
            <w:pPr>
              <w:spacing w:after="0" w:line="240" w:lineRule="auto"/>
              <w:jc w:val="both"/>
              <w:rPr>
                <w:rFonts w:ascii="Times New Roman" w:hAnsi="Times New Roman" w:eastAsia="Times New Roman" w:cs="Times New Roman"/>
                <w:lang w:val="zh-CN"/>
              </w:rPr>
            </w:pPr>
            <w:r>
              <w:rPr>
                <w:rFonts w:ascii="Times New Roman" w:hAnsi="Times New Roman" w:eastAsia="Times New Roman" w:cs="Times New Roman"/>
                <w:color w:val="000000"/>
                <w:lang w:val="zh-CN"/>
              </w:rPr>
              <w:t>Aleta Sprague,</w:t>
            </w:r>
          </w:p>
          <w:p w14:paraId="00B054C6">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Amy Raub,</w:t>
            </w:r>
          </w:p>
          <w:p w14:paraId="07B0EA87">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Jody Heymann.</w:t>
            </w:r>
          </w:p>
        </w:tc>
        <w:tc>
          <w:tcPr>
            <w:tcW w:w="0" w:type="auto"/>
            <w:tcBorders>
              <w:top w:val="single" w:color="000000" w:sz="8" w:space="0"/>
              <w:left w:val="single" w:color="000000" w:sz="8" w:space="0"/>
              <w:bottom w:val="single" w:color="000000" w:sz="8" w:space="0"/>
              <w:right w:val="single" w:color="000000" w:sz="8" w:space="0"/>
            </w:tcBorders>
          </w:tcPr>
          <w:p w14:paraId="7C0D91D7">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lang w:val="pt-BR"/>
              </w:rPr>
              <w:t>2025</w:t>
            </w:r>
          </w:p>
        </w:tc>
        <w:tc>
          <w:tcPr>
            <w:tcW w:w="0" w:type="auto"/>
            <w:tcBorders>
              <w:top w:val="single" w:color="000000" w:sz="8" w:space="0"/>
              <w:left w:val="single" w:color="000000" w:sz="8" w:space="0"/>
              <w:bottom w:val="single" w:color="000000" w:sz="8" w:space="0"/>
              <w:right w:val="single" w:color="000000" w:sz="8" w:space="0"/>
            </w:tcBorders>
          </w:tcPr>
          <w:p w14:paraId="08B09CD1">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rPr>
              <w:t>O estudo revela, a partir de dados de 193 países, que a exclusão educacional exige uma lente interseccional, pois atinge mulheres e meninas de forma desigual. Meninas com deficiência e de baixa renda enfrentam taxas de exclusão drasticamente maiores. Apenas 11% dos países garantem o acesso à educação independentemente do cruzamento entre gênero, deficiência e classe socioeconômica</w:t>
            </w:r>
          </w:p>
        </w:tc>
      </w:tr>
      <w:tr w14:paraId="5008BF48">
        <w:trPr>
          <w:trHeight w:val="1089" w:hRule="atLeast"/>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65438A6">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Mulherando o mundo: enfrentamento da desigualdade de gênero como perspectiva da geografia no ensino fundamental por meio de podcasts.</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80DEC0B">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Maysa Aparecida Goronski,</w:t>
            </w:r>
          </w:p>
          <w:p w14:paraId="092538E1">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Natália Lampert Batista.</w:t>
            </w:r>
          </w:p>
          <w:p w14:paraId="7403C77B">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 </w:t>
            </w:r>
          </w:p>
        </w:tc>
        <w:tc>
          <w:tcPr>
            <w:tcW w:w="0" w:type="auto"/>
            <w:tcBorders>
              <w:top w:val="single" w:color="000000" w:sz="8" w:space="0"/>
              <w:left w:val="single" w:color="000000" w:sz="8" w:space="0"/>
              <w:bottom w:val="single" w:color="000000" w:sz="8" w:space="0"/>
              <w:right w:val="single" w:color="000000" w:sz="8" w:space="0"/>
            </w:tcBorders>
          </w:tcPr>
          <w:p w14:paraId="488A3077">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lang w:val="pt-BR"/>
              </w:rPr>
              <w:t>2024</w:t>
            </w:r>
          </w:p>
        </w:tc>
        <w:tc>
          <w:tcPr>
            <w:tcW w:w="0" w:type="auto"/>
            <w:tcBorders>
              <w:top w:val="single" w:color="000000" w:sz="8" w:space="0"/>
              <w:left w:val="single" w:color="000000" w:sz="8" w:space="0"/>
              <w:bottom w:val="single" w:color="000000" w:sz="8" w:space="0"/>
              <w:right w:val="single" w:color="000000" w:sz="8" w:space="0"/>
            </w:tcBorders>
          </w:tcPr>
          <w:p w14:paraId="1F497017">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rPr>
              <w:t>Ao utilizar a produção de podcasts na disciplina de Geografia (focando na trajetória de Enedina Alves Marques), o estudo demonstrou que a escola pode ser um espaço de desconstrução da naturalização da violência. Os estudantes conseguiram identificar claramente como as intersecções de raça e classe agravam a opressão de gênero.</w:t>
            </w:r>
          </w:p>
        </w:tc>
      </w:tr>
      <w:tr w14:paraId="50AD0888">
        <w:trPr>
          <w:trHeight w:val="620" w:hRule="atLeast"/>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A9F01E6">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O enfrentamento da violência de gênero a partir da Educação Básica.</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118BF1A">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Roberta Guimarães Peres,</w:t>
            </w:r>
          </w:p>
          <w:p w14:paraId="6D682DAC">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Ana Carolina Alves da Silva.</w:t>
            </w:r>
          </w:p>
        </w:tc>
        <w:tc>
          <w:tcPr>
            <w:tcW w:w="0" w:type="auto"/>
            <w:tcBorders>
              <w:top w:val="single" w:color="000000" w:sz="8" w:space="0"/>
              <w:left w:val="single" w:color="000000" w:sz="8" w:space="0"/>
              <w:bottom w:val="single" w:color="000000" w:sz="8" w:space="0"/>
              <w:right w:val="single" w:color="000000" w:sz="8" w:space="0"/>
            </w:tcBorders>
          </w:tcPr>
          <w:p w14:paraId="4ECB13F1">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lang w:val="pt-BR"/>
              </w:rPr>
              <w:t>2022</w:t>
            </w:r>
          </w:p>
        </w:tc>
        <w:tc>
          <w:tcPr>
            <w:tcW w:w="0" w:type="auto"/>
            <w:tcBorders>
              <w:top w:val="single" w:color="000000" w:sz="8" w:space="0"/>
              <w:left w:val="single" w:color="000000" w:sz="8" w:space="0"/>
              <w:bottom w:val="single" w:color="000000" w:sz="8" w:space="0"/>
              <w:right w:val="single" w:color="000000" w:sz="8" w:space="0"/>
            </w:tcBorders>
          </w:tcPr>
          <w:p w14:paraId="2E489965">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rPr>
              <w:t>As autoras evidenciam que a escola frequentemente funciona como legitimação simbólica da violência, onde o currículo omisso atua como uma "carta branca à submissão". Apontam que a violência vai além da força física (pressão psicológica/violência simbólica) e reforçam o impacto do racismo estrutural entrelaçado ao sexismo no Brasil.</w:t>
            </w:r>
          </w:p>
        </w:tc>
      </w:tr>
      <w:tr w14:paraId="69D05F29">
        <w:trPr>
          <w:trHeight w:val="690" w:hRule="atLeast"/>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92D3CB9">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Práticas pedagógicas no enfrentamento à violência contra mulheres.</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77F4D96">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Patrícia Alves Batista.</w:t>
            </w:r>
          </w:p>
        </w:tc>
        <w:tc>
          <w:tcPr>
            <w:tcW w:w="0" w:type="auto"/>
            <w:tcBorders>
              <w:top w:val="single" w:color="000000" w:sz="8" w:space="0"/>
              <w:left w:val="single" w:color="000000" w:sz="8" w:space="0"/>
              <w:bottom w:val="single" w:color="000000" w:sz="8" w:space="0"/>
              <w:right w:val="single" w:color="000000" w:sz="8" w:space="0"/>
            </w:tcBorders>
          </w:tcPr>
          <w:p w14:paraId="37F17509">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rPr>
              <w:t>2021</w:t>
            </w:r>
          </w:p>
        </w:tc>
        <w:tc>
          <w:tcPr>
            <w:tcW w:w="0" w:type="auto"/>
            <w:tcBorders>
              <w:top w:val="single" w:color="000000" w:sz="8" w:space="0"/>
              <w:left w:val="single" w:color="000000" w:sz="8" w:space="0"/>
              <w:bottom w:val="single" w:color="000000" w:sz="8" w:space="0"/>
              <w:right w:val="single" w:color="000000" w:sz="8" w:space="0"/>
            </w:tcBorders>
          </w:tcPr>
          <w:p w14:paraId="335B1810">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rPr>
              <w:t>O artigo evidencia que o ambiente escolar concentra e reproduz a cultura patriarcal. A autora constata que as práticas de enfrentamento na escola ainda são muito descontextualizadas (focadas apenas em datas comemorativas, como a Semana da Mulher), o que limita o aprofundamento das questões de identidade e gênero.</w:t>
            </w:r>
          </w:p>
        </w:tc>
      </w:tr>
      <w:tr w14:paraId="4C752E1E">
        <w:trPr>
          <w:trHeight w:val="832" w:hRule="atLeast"/>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9DFA8D8">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Promovendo a desconstrução de estereótipos de gênero nas instituições escolares.</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45D5777">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Isabele Fornazari Marciano,</w:t>
            </w:r>
          </w:p>
          <w:p w14:paraId="5BF12068">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Terezinha Richartz.</w:t>
            </w:r>
          </w:p>
        </w:tc>
        <w:tc>
          <w:tcPr>
            <w:tcW w:w="0" w:type="auto"/>
            <w:tcBorders>
              <w:top w:val="single" w:color="000000" w:sz="8" w:space="0"/>
              <w:left w:val="single" w:color="000000" w:sz="8" w:space="0"/>
              <w:bottom w:val="single" w:color="000000" w:sz="8" w:space="0"/>
              <w:right w:val="single" w:color="000000" w:sz="8" w:space="0"/>
            </w:tcBorders>
          </w:tcPr>
          <w:p w14:paraId="04E131EF">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lang w:val="pt-BR"/>
              </w:rPr>
              <w:t>2024</w:t>
            </w:r>
          </w:p>
        </w:tc>
        <w:tc>
          <w:tcPr>
            <w:tcW w:w="0" w:type="auto"/>
            <w:tcBorders>
              <w:top w:val="single" w:color="000000" w:sz="8" w:space="0"/>
              <w:left w:val="single" w:color="000000" w:sz="8" w:space="0"/>
              <w:bottom w:val="single" w:color="000000" w:sz="8" w:space="0"/>
              <w:right w:val="single" w:color="000000" w:sz="8" w:space="0"/>
            </w:tcBorders>
          </w:tcPr>
          <w:p w14:paraId="2A6ABFD4">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rPr>
              <w:t>Os resultados apontam que papéis hierarquizados de gênero são frequentemente reiterados de forma silenciosa por meio de práticas pedagógicas cotidianas. Contudo, demonstram que, ao adotar uma postura crítica, a escola tem o potencial de desnaturalizar essa violência, promovendo o reconhecimento das dinâmicas opressivas.</w:t>
            </w:r>
          </w:p>
        </w:tc>
      </w:tr>
      <w:tr w14:paraId="34DA8E20">
        <w:trPr>
          <w:trHeight w:val="727" w:hRule="atLeast"/>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67703CC">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Clima e Caminhabilidade: Caminhando juntas.</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B0B443B">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Leticia Sabino,</w:t>
            </w:r>
          </w:p>
          <w:p w14:paraId="5A456FB0">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Louise Uchôa.</w:t>
            </w:r>
          </w:p>
        </w:tc>
        <w:tc>
          <w:tcPr>
            <w:tcW w:w="0" w:type="auto"/>
            <w:tcBorders>
              <w:top w:val="single" w:color="000000" w:sz="8" w:space="0"/>
              <w:left w:val="single" w:color="000000" w:sz="8" w:space="0"/>
              <w:bottom w:val="single" w:color="000000" w:sz="8" w:space="0"/>
              <w:right w:val="single" w:color="000000" w:sz="8" w:space="0"/>
            </w:tcBorders>
          </w:tcPr>
          <w:p w14:paraId="56693055">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lang w:val="pt-BR"/>
              </w:rPr>
              <w:t>2023</w:t>
            </w:r>
          </w:p>
        </w:tc>
        <w:tc>
          <w:tcPr>
            <w:tcW w:w="0" w:type="auto"/>
            <w:tcBorders>
              <w:top w:val="single" w:color="000000" w:sz="8" w:space="0"/>
              <w:left w:val="single" w:color="000000" w:sz="8" w:space="0"/>
              <w:bottom w:val="single" w:color="000000" w:sz="8" w:space="0"/>
              <w:right w:val="single" w:color="000000" w:sz="8" w:space="0"/>
            </w:tcBorders>
          </w:tcPr>
          <w:p w14:paraId="3753C41C">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rPr>
              <w:t>O estudo aborda a intersecção entre infraestrutura urbana (caminhabilidade), mudanças climáticas e gênero, indicando como a violência, o assédio e a insegurança afetam desproporcionalmente o direito e o acesso das mulheres e meninas à cidade e, consequentemente, aos espaços educativos.</w:t>
            </w:r>
          </w:p>
        </w:tc>
      </w:tr>
      <w:tr w14:paraId="1885218E">
        <w:trPr>
          <w:trHeight w:val="1515" w:hRule="atLeast"/>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F8B3DA3">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Violência contra as mulheres e políticas públicas em educação: Perspectivas necessárias para o combate e a prevenção no Amazonas com base na educação em direitos humanos.</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BC87227">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Marcio Oliveira,</w:t>
            </w:r>
          </w:p>
          <w:p w14:paraId="33D01723">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Fernanda Machado Melo.</w:t>
            </w:r>
          </w:p>
          <w:p w14:paraId="511472CE">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 </w:t>
            </w:r>
          </w:p>
        </w:tc>
        <w:tc>
          <w:tcPr>
            <w:tcW w:w="0" w:type="auto"/>
            <w:tcBorders>
              <w:top w:val="single" w:color="000000" w:sz="8" w:space="0"/>
              <w:left w:val="single" w:color="000000" w:sz="8" w:space="0"/>
              <w:bottom w:val="single" w:color="000000" w:sz="8" w:space="0"/>
              <w:right w:val="single" w:color="000000" w:sz="8" w:space="0"/>
            </w:tcBorders>
          </w:tcPr>
          <w:p w14:paraId="0F8DE03A">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lang w:val="pt-BR"/>
              </w:rPr>
              <w:t>2024</w:t>
            </w:r>
          </w:p>
        </w:tc>
        <w:tc>
          <w:tcPr>
            <w:tcW w:w="0" w:type="auto"/>
            <w:tcBorders>
              <w:top w:val="single" w:color="000000" w:sz="8" w:space="0"/>
              <w:left w:val="single" w:color="000000" w:sz="8" w:space="0"/>
              <w:bottom w:val="single" w:color="000000" w:sz="8" w:space="0"/>
              <w:right w:val="single" w:color="000000" w:sz="8" w:space="0"/>
            </w:tcBorders>
          </w:tcPr>
          <w:p w14:paraId="7DB5F6CB">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rPr>
              <w:t>Evidenciam que a escola atua como continuação da cultura patriarcal da sociedade, mas identificam um dado crucial: é dentro do ambiente escolar que ocorre grande parte das denúncias de violação de direitos, seja por meio de relatos de estudantes ou percepção dos profissionais da educação.</w:t>
            </w:r>
          </w:p>
        </w:tc>
      </w:tr>
      <w:tr w14:paraId="16AC2F92">
        <w:trPr>
          <w:trHeight w:val="1890" w:hRule="atLeast"/>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664FA76">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Violência contra mulheres: A construção de um campo teórico para sua desconstrução na escola.</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AE94B59">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Luciana da Silva Rodrigues,</w:t>
            </w:r>
          </w:p>
          <w:p w14:paraId="52FC5DF0">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Leandro Rafael Pinto,</w:t>
            </w:r>
          </w:p>
          <w:p w14:paraId="36AC9A67">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Márcia Valéria Paixão.</w:t>
            </w:r>
          </w:p>
        </w:tc>
        <w:tc>
          <w:tcPr>
            <w:tcW w:w="0" w:type="auto"/>
            <w:tcBorders>
              <w:top w:val="single" w:color="000000" w:sz="8" w:space="0"/>
              <w:left w:val="single" w:color="000000" w:sz="8" w:space="0"/>
              <w:bottom w:val="single" w:color="000000" w:sz="8" w:space="0"/>
              <w:right w:val="single" w:color="000000" w:sz="8" w:space="0"/>
            </w:tcBorders>
          </w:tcPr>
          <w:p w14:paraId="35ABE7B4">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lang w:val="pt-BR"/>
              </w:rPr>
              <w:t>2022</w:t>
            </w:r>
          </w:p>
        </w:tc>
        <w:tc>
          <w:tcPr>
            <w:tcW w:w="0" w:type="auto"/>
            <w:tcBorders>
              <w:top w:val="single" w:color="000000" w:sz="8" w:space="0"/>
              <w:left w:val="single" w:color="000000" w:sz="8" w:space="0"/>
              <w:bottom w:val="single" w:color="000000" w:sz="8" w:space="0"/>
              <w:right w:val="single" w:color="000000" w:sz="8" w:space="0"/>
            </w:tcBorders>
          </w:tcPr>
          <w:p w14:paraId="7CCEA9A1">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rPr>
              <w:t>O estudo argumenta a natureza dialética da escola. Aponta que, por ser o principal ambiente de socialização secundária, a escola reproduz os padrões sociais estabelecidos, mas é simultaneamente o espaço mais rico e favorável para a desconstrução e para a formação de uma nova cidadania crítica.</w:t>
            </w:r>
          </w:p>
        </w:tc>
      </w:tr>
      <w:tr w14:paraId="3BB2146A">
        <w:trPr>
          <w:trHeight w:val="1421" w:hRule="atLeast"/>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6A9B8D2">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A perspectiva transdisciplinar da teoria de gênero na escola de campo – Zona rural do município de Ipanguaçu: Um estudo de caso sobre mulheres.</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82446C1">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Audilene Gomes de Araújo,</w:t>
            </w:r>
          </w:p>
          <w:p w14:paraId="42BB1442">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Adna Patrícia Dantas Bernardo,</w:t>
            </w:r>
          </w:p>
          <w:p w14:paraId="1E050005">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Jeane Dantas dos Santos Bezerra,</w:t>
            </w:r>
          </w:p>
          <w:p w14:paraId="40DE83B4">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Wiliame Lins Caldas,</w:t>
            </w:r>
          </w:p>
          <w:p w14:paraId="336F5999">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Vivianne Caldas de Souza Dantas,</w:t>
            </w:r>
          </w:p>
          <w:p w14:paraId="51CD07D1">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Judson Tavares Matias,</w:t>
            </w:r>
          </w:p>
          <w:p w14:paraId="41B1B079">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Diane Kelly Rodrigues Martins,</w:t>
            </w:r>
          </w:p>
          <w:p w14:paraId="58CBD9BD">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Maria de Lourdes Alcântara de Melo,</w:t>
            </w:r>
          </w:p>
          <w:p w14:paraId="1F6D01F3">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Severino Barreto Neto,</w:t>
            </w:r>
          </w:p>
          <w:p w14:paraId="33F09C66">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José Luís de Oliveira,</w:t>
            </w:r>
          </w:p>
          <w:p w14:paraId="30ACB5B8">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Oristéia Bezerra de Oliveira,</w:t>
            </w:r>
          </w:p>
          <w:p w14:paraId="6CC42450">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Ivonete da Silva Siqueira.</w:t>
            </w:r>
          </w:p>
        </w:tc>
        <w:tc>
          <w:tcPr>
            <w:tcW w:w="0" w:type="auto"/>
            <w:tcBorders>
              <w:top w:val="single" w:color="000000" w:sz="8" w:space="0"/>
              <w:left w:val="single" w:color="000000" w:sz="8" w:space="0"/>
              <w:bottom w:val="single" w:color="000000" w:sz="8" w:space="0"/>
              <w:right w:val="single" w:color="000000" w:sz="8" w:space="0"/>
            </w:tcBorders>
          </w:tcPr>
          <w:p w14:paraId="44B99944">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lang w:val="pt-BR"/>
              </w:rPr>
              <w:t>2025</w:t>
            </w:r>
          </w:p>
        </w:tc>
        <w:tc>
          <w:tcPr>
            <w:tcW w:w="0" w:type="auto"/>
            <w:tcBorders>
              <w:top w:val="single" w:color="000000" w:sz="8" w:space="0"/>
              <w:left w:val="single" w:color="000000" w:sz="8" w:space="0"/>
              <w:bottom w:val="single" w:color="000000" w:sz="8" w:space="0"/>
              <w:right w:val="single" w:color="000000" w:sz="8" w:space="0"/>
            </w:tcBorders>
          </w:tcPr>
          <w:p w14:paraId="21D90F92">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lang w:val="pt-BR"/>
              </w:rPr>
              <w:t>Trazendo a realidade da educação rural (município de Ipanguaçu), o estudo demonstra a necessidade de práticas transdisciplinares que fujam de enfoques restritos. Os resultados provam que a escola do campo é vital para sensibilizar os estudantes a reconhecerem os papéis sociais e práticas cotidianas que naturalizam a violência de gênero em contextos rurais.</w:t>
            </w:r>
          </w:p>
        </w:tc>
      </w:tr>
      <w:tr w14:paraId="0B457B69">
        <w:trPr>
          <w:trHeight w:val="1029" w:hRule="atLeast"/>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9C5EA05">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A Questão de Gênero no Contexto Escolar: um estudo na</w:t>
            </w:r>
          </w:p>
          <w:p w14:paraId="78AF8E8A">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Base Nacional Comum Curricular (BNCC).</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1FC4457">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Sabrina Hoffmann,</w:t>
            </w:r>
          </w:p>
          <w:p w14:paraId="45D668FD">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Daniéli Vitória Goetz Pauli,</w:t>
            </w:r>
          </w:p>
          <w:p w14:paraId="4D869245">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Luzilene Rito dos Santos,</w:t>
            </w:r>
          </w:p>
          <w:p w14:paraId="3EA6422D">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Neusete Machado Rigo.</w:t>
            </w:r>
          </w:p>
        </w:tc>
        <w:tc>
          <w:tcPr>
            <w:tcW w:w="0" w:type="auto"/>
            <w:tcBorders>
              <w:top w:val="single" w:color="000000" w:sz="8" w:space="0"/>
              <w:left w:val="single" w:color="000000" w:sz="8" w:space="0"/>
              <w:bottom w:val="single" w:color="000000" w:sz="8" w:space="0"/>
              <w:right w:val="single" w:color="000000" w:sz="8" w:space="0"/>
            </w:tcBorders>
          </w:tcPr>
          <w:p w14:paraId="00B5E8A8">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lang w:val="pt-BR"/>
              </w:rPr>
              <w:t>2022</w:t>
            </w:r>
          </w:p>
        </w:tc>
        <w:tc>
          <w:tcPr>
            <w:tcW w:w="0" w:type="auto"/>
            <w:tcBorders>
              <w:top w:val="single" w:color="000000" w:sz="8" w:space="0"/>
              <w:left w:val="single" w:color="000000" w:sz="8" w:space="0"/>
              <w:bottom w:val="single" w:color="000000" w:sz="8" w:space="0"/>
              <w:right w:val="single" w:color="000000" w:sz="8" w:space="0"/>
            </w:tcBorders>
          </w:tcPr>
          <w:p w14:paraId="1FD725B8">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rPr>
              <w:t>O resultado mais contundente do estudo é o mapeamento da BNCC: a palavra "gênero" aparece 499 vezes, porém está quase totalmente esvaziada de significado social e político, sendo associada a "gênero textual" ou "discursivo". Concluem que essa omissão documental desarma a escola e inviabiliza orientações normativas contra a violência.</w:t>
            </w:r>
          </w:p>
        </w:tc>
      </w:tr>
      <w:tr w14:paraId="7336CF7A">
        <w:trPr>
          <w:trHeight w:val="1694" w:hRule="atLeast"/>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39C346E">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Investigando a violência no namoro entre adolescentes, questões de gênero e recursos</w:t>
            </w:r>
          </w:p>
          <w:p w14:paraId="1A9405CD">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de saúde em uma intervenção educacional participativa: uma avaliação de métodos mistos.</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BAF58E6">
            <w:pPr>
              <w:spacing w:after="0" w:line="240" w:lineRule="auto"/>
              <w:jc w:val="both"/>
              <w:rPr>
                <w:rFonts w:ascii="Times New Roman" w:hAnsi="Times New Roman" w:eastAsia="Times New Roman" w:cs="Times New Roman"/>
                <w:lang w:val="zh-CN"/>
              </w:rPr>
            </w:pPr>
            <w:r>
              <w:rPr>
                <w:rFonts w:ascii="Times New Roman" w:hAnsi="Times New Roman" w:eastAsia="Times New Roman" w:cs="Times New Roman"/>
                <w:color w:val="000000"/>
                <w:lang w:val="zh-CN"/>
              </w:rPr>
              <w:t>Ariadna Cerdan-Torregrosa,</w:t>
            </w:r>
          </w:p>
          <w:p w14:paraId="50F237B6">
            <w:pPr>
              <w:spacing w:after="0" w:line="240" w:lineRule="auto"/>
              <w:jc w:val="both"/>
              <w:rPr>
                <w:rFonts w:ascii="Times New Roman" w:hAnsi="Times New Roman" w:eastAsia="Times New Roman" w:cs="Times New Roman"/>
                <w:lang w:val="zh-CN"/>
              </w:rPr>
            </w:pPr>
            <w:r>
              <w:rPr>
                <w:rFonts w:ascii="Times New Roman" w:hAnsi="Times New Roman" w:eastAsia="Times New Roman" w:cs="Times New Roman"/>
                <w:color w:val="000000"/>
                <w:lang w:val="zh-CN"/>
              </w:rPr>
              <w:t>Mari Carmen Davo-Blanes,</w:t>
            </w:r>
          </w:p>
          <w:p w14:paraId="775017E2">
            <w:pPr>
              <w:spacing w:after="0" w:line="240" w:lineRule="auto"/>
              <w:jc w:val="both"/>
              <w:rPr>
                <w:rFonts w:ascii="Times New Roman" w:hAnsi="Times New Roman" w:eastAsia="Times New Roman" w:cs="Times New Roman"/>
                <w:lang w:val="zh-CN"/>
              </w:rPr>
            </w:pPr>
            <w:r>
              <w:rPr>
                <w:rFonts w:ascii="Times New Roman" w:hAnsi="Times New Roman" w:eastAsia="Times New Roman" w:cs="Times New Roman"/>
                <w:color w:val="000000"/>
                <w:lang w:val="zh-CN"/>
              </w:rPr>
              <w:t>Íris Comino,</w:t>
            </w:r>
          </w:p>
          <w:p w14:paraId="56B11FFA">
            <w:pPr>
              <w:spacing w:after="0" w:line="240" w:lineRule="auto"/>
              <w:jc w:val="both"/>
              <w:rPr>
                <w:rFonts w:ascii="Times New Roman" w:hAnsi="Times New Roman" w:eastAsia="Times New Roman" w:cs="Times New Roman"/>
                <w:lang w:val="zh-CN"/>
              </w:rPr>
            </w:pPr>
            <w:r>
              <w:rPr>
                <w:rFonts w:ascii="Times New Roman" w:hAnsi="Times New Roman" w:eastAsia="Times New Roman" w:cs="Times New Roman"/>
                <w:color w:val="000000"/>
                <w:lang w:val="zh-CN"/>
              </w:rPr>
              <w:t>Vanesa Pérez-Martínez,</w:t>
            </w:r>
          </w:p>
          <w:p w14:paraId="6C8631F1">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Raquel Madrona-Bonastre.</w:t>
            </w:r>
          </w:p>
        </w:tc>
        <w:tc>
          <w:tcPr>
            <w:tcW w:w="0" w:type="auto"/>
            <w:tcBorders>
              <w:top w:val="single" w:color="000000" w:sz="8" w:space="0"/>
              <w:left w:val="single" w:color="000000" w:sz="8" w:space="0"/>
              <w:bottom w:val="single" w:color="000000" w:sz="8" w:space="0"/>
              <w:right w:val="single" w:color="000000" w:sz="8" w:space="0"/>
            </w:tcBorders>
          </w:tcPr>
          <w:p w14:paraId="07B43222">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lang w:val="pt-BR"/>
              </w:rPr>
              <w:t>2025</w:t>
            </w:r>
          </w:p>
        </w:tc>
        <w:tc>
          <w:tcPr>
            <w:tcW w:w="0" w:type="auto"/>
            <w:tcBorders>
              <w:top w:val="single" w:color="000000" w:sz="8" w:space="0"/>
              <w:left w:val="single" w:color="000000" w:sz="8" w:space="0"/>
              <w:bottom w:val="single" w:color="000000" w:sz="8" w:space="0"/>
              <w:right w:val="single" w:color="000000" w:sz="8" w:space="0"/>
            </w:tcBorders>
          </w:tcPr>
          <w:p w14:paraId="662A61A3">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rPr>
              <w:t>Utilizando métodos mistos, o estudo foca na prevenção primária. Demonstra a eficácia de intervenções educacionais participativas, articulando questões de gênero aos recursos de saúde, para identificar e desconstruir comportamentos agressivos e de controle durante a fase do namoro na adolescência.</w:t>
            </w:r>
          </w:p>
        </w:tc>
      </w:tr>
      <w:tr w14:paraId="1E1E1D32">
        <w:trPr>
          <w:trHeight w:val="862" w:hRule="atLeast"/>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8C26EF0">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Diálogos de gênero na educação:</w:t>
            </w:r>
          </w:p>
          <w:p w14:paraId="7626AB26">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Considerações sobre o projeto Lei Maria da Penha vai às escolas.</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480D953">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Kristine Kelly de Albuquerque.</w:t>
            </w:r>
          </w:p>
        </w:tc>
        <w:tc>
          <w:tcPr>
            <w:tcW w:w="0" w:type="auto"/>
            <w:tcBorders>
              <w:top w:val="single" w:color="000000" w:sz="8" w:space="0"/>
              <w:left w:val="single" w:color="000000" w:sz="8" w:space="0"/>
              <w:bottom w:val="single" w:color="000000" w:sz="8" w:space="0"/>
              <w:right w:val="single" w:color="000000" w:sz="8" w:space="0"/>
            </w:tcBorders>
          </w:tcPr>
          <w:p w14:paraId="75A99486">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lang w:val="pt-BR"/>
              </w:rPr>
              <w:t>2020</w:t>
            </w:r>
          </w:p>
        </w:tc>
        <w:tc>
          <w:tcPr>
            <w:tcW w:w="0" w:type="auto"/>
            <w:tcBorders>
              <w:top w:val="single" w:color="000000" w:sz="8" w:space="0"/>
              <w:left w:val="single" w:color="000000" w:sz="8" w:space="0"/>
              <w:bottom w:val="single" w:color="000000" w:sz="8" w:space="0"/>
              <w:right w:val="single" w:color="000000" w:sz="8" w:space="0"/>
            </w:tcBorders>
          </w:tcPr>
          <w:p w14:paraId="640350D8">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rPr>
              <w:t>Constata que a violência contra a mulher é multifatorial (física, psicológica e sexual) e que a introdução formal de instrumentos legais (como a Lei Maria da Penha) na educação básica exige que a escola transcenda campanhas pontuais, confrontando ativamente a estrutura que naturaliza a violência.</w:t>
            </w:r>
          </w:p>
        </w:tc>
      </w:tr>
      <w:tr w14:paraId="0DF66B59">
        <w:trPr>
          <w:trHeight w:val="1065" w:hRule="atLeast"/>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452CB0E">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Educar sobre as diferenças para prevenir a violência de gênero (EDVIGE): um projeto para a prevenção primária da violência de gênero na adolescência.</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7447AED">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Anna Libera Latino,</w:t>
            </w:r>
          </w:p>
          <w:p w14:paraId="192CC1B3">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Maria Teresa Vaccaro,</w:t>
            </w:r>
          </w:p>
          <w:p w14:paraId="650F9D35">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Giuseppina Volpicelli,</w:t>
            </w:r>
          </w:p>
          <w:p w14:paraId="230EE867">
            <w:pPr>
              <w:spacing w:after="0" w:line="240" w:lineRule="auto"/>
              <w:jc w:val="both"/>
              <w:rPr>
                <w:rFonts w:ascii="Times New Roman" w:hAnsi="Times New Roman" w:eastAsia="Times New Roman" w:cs="Times New Roman"/>
                <w:lang w:val="pt-BR"/>
              </w:rPr>
            </w:pPr>
            <w:r>
              <w:rPr>
                <w:rFonts w:ascii="Times New Roman" w:hAnsi="Times New Roman" w:eastAsia="Times New Roman" w:cs="Times New Roman"/>
                <w:color w:val="000000"/>
                <w:lang w:val="pt-BR"/>
              </w:rPr>
              <w:t>Michele Zamboni.</w:t>
            </w:r>
          </w:p>
        </w:tc>
        <w:tc>
          <w:tcPr>
            <w:tcW w:w="0" w:type="auto"/>
            <w:tcBorders>
              <w:top w:val="single" w:color="000000" w:sz="8" w:space="0"/>
              <w:left w:val="single" w:color="000000" w:sz="8" w:space="0"/>
              <w:bottom w:val="single" w:color="000000" w:sz="8" w:space="0"/>
              <w:right w:val="single" w:color="000000" w:sz="8" w:space="0"/>
            </w:tcBorders>
          </w:tcPr>
          <w:p w14:paraId="5F40CBAC">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lang w:val="pt-BR"/>
              </w:rPr>
              <w:t>2025</w:t>
            </w:r>
          </w:p>
        </w:tc>
        <w:tc>
          <w:tcPr>
            <w:tcW w:w="0" w:type="auto"/>
            <w:tcBorders>
              <w:top w:val="single" w:color="000000" w:sz="8" w:space="0"/>
              <w:left w:val="single" w:color="000000" w:sz="8" w:space="0"/>
              <w:bottom w:val="single" w:color="000000" w:sz="8" w:space="0"/>
              <w:right w:val="single" w:color="000000" w:sz="8" w:space="0"/>
            </w:tcBorders>
          </w:tcPr>
          <w:p w14:paraId="5E680EDB">
            <w:pPr>
              <w:spacing w:after="0" w:line="240" w:lineRule="auto"/>
              <w:jc w:val="both"/>
              <w:rPr>
                <w:rFonts w:ascii="Times New Roman" w:hAnsi="Times New Roman" w:eastAsia="Times New Roman" w:cs="Times New Roman"/>
                <w:color w:val="000000"/>
                <w:lang w:val="pt-BR"/>
              </w:rPr>
            </w:pPr>
            <w:r>
              <w:rPr>
                <w:rFonts w:ascii="Times New Roman" w:hAnsi="Times New Roman" w:eastAsia="Times New Roman" w:cs="Times New Roman"/>
                <w:color w:val="000000"/>
              </w:rPr>
              <w:t>Com base no projeto EDVIGE, os resultados evidenciam que a educação para as diferenças na adolescência tem um papel central na regulação da vida emocional e interpessoal dos jovens. O estudo conclui que a escola é o pilar da prevenção primária de agressões e atitudes sexistas antes que elas se consolidem na fase adulta.</w:t>
            </w:r>
          </w:p>
        </w:tc>
      </w:tr>
    </w:tbl>
    <w:p w14:paraId="3A1AC791">
      <w:p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ascii="Times New Roman" w:hAnsi="Times New Roman" w:eastAsia="Times New Roman" w:cs="Times New Roman"/>
          <w:i/>
          <w:iCs/>
          <w:color w:val="221E1F"/>
        </w:rPr>
      </w:pPr>
      <w:r>
        <w:rPr>
          <w:rFonts w:ascii="Times New Roman" w:hAnsi="Times New Roman" w:eastAsia="Times New Roman" w:cs="Times New Roman"/>
          <w:i/>
          <w:iCs/>
          <w:color w:val="221E1F"/>
        </w:rPr>
        <w:t>Fonte: Elaborado pelos autores.</w:t>
      </w:r>
    </w:p>
    <w:p w14:paraId="6B4165F4">
      <w:pPr>
        <w:pBdr>
          <w:top w:val="none" w:color="auto" w:sz="0" w:space="0"/>
          <w:left w:val="none" w:color="auto" w:sz="0" w:space="0"/>
          <w:bottom w:val="none" w:color="auto" w:sz="0" w:space="0"/>
          <w:right w:val="none" w:color="auto" w:sz="0" w:space="0"/>
          <w:between w:val="none" w:color="auto" w:sz="0" w:space="0"/>
        </w:pBdr>
        <w:spacing w:before="240" w:after="0" w:line="360" w:lineRule="auto"/>
        <w:jc w:val="both"/>
        <w:rPr>
          <w:rFonts w:ascii="Times New Roman" w:hAnsi="Times New Roman" w:eastAsia="Times New Roman" w:cs="Times New Roman"/>
          <w:b/>
          <w:bCs/>
          <w:color w:val="221E1F"/>
          <w:sz w:val="24"/>
          <w:szCs w:val="24"/>
        </w:rPr>
      </w:pPr>
      <w:r>
        <w:rPr>
          <w:rFonts w:ascii="Times New Roman" w:hAnsi="Times New Roman" w:eastAsia="Times New Roman" w:cs="Times New Roman"/>
          <w:b/>
          <w:bCs/>
          <w:color w:val="221E1F"/>
          <w:sz w:val="24"/>
          <w:szCs w:val="24"/>
        </w:rPr>
        <w:t>DISCUSSÃO</w:t>
      </w:r>
    </w:p>
    <w:p w14:paraId="1B3954FD">
      <w:pPr>
        <w:pBdr>
          <w:top w:val="none" w:color="auto" w:sz="0" w:space="0"/>
          <w:left w:val="none" w:color="auto" w:sz="0" w:space="0"/>
          <w:bottom w:val="none" w:color="auto" w:sz="0" w:space="0"/>
          <w:right w:val="none" w:color="auto" w:sz="0" w:space="0"/>
          <w:between w:val="none" w:color="auto" w:sz="0" w:space="0"/>
        </w:pBdr>
        <w:spacing w:before="240"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 xml:space="preserve">Lendo e analisando esses trabalhos, descobrimos que a violência contra as mulheres é tratada como um fenômeno social amplamente complexo e multifatorial (Albuquerque, 2020). Ela caminha junto com outras formas históricas de desigualdade (Collins &amp; </w:t>
      </w:r>
      <w:r>
        <w:rPr>
          <w:rFonts w:ascii="Times New Roman" w:hAnsi="Times New Roman" w:eastAsia="Times New Roman" w:cs="Times New Roman"/>
          <w:color w:val="221E1F"/>
          <w:sz w:val="24"/>
          <w:szCs w:val="24"/>
        </w:rPr>
        <w:t>Bilge</w:t>
      </w:r>
      <w:r>
        <w:rPr>
          <w:rFonts w:ascii="Times New Roman" w:hAnsi="Times New Roman" w:eastAsia="Times New Roman" w:cs="Times New Roman"/>
          <w:color w:val="221E1F"/>
          <w:sz w:val="24"/>
          <w:szCs w:val="24"/>
          <w:lang w:val="pt-BR"/>
        </w:rPr>
        <w:t>, 2020). </w:t>
      </w:r>
    </w:p>
    <w:p w14:paraId="017E3D7D">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Essa violência está enraizada na estrutura social capitalista (Latino et al., 2025), que possui a sua origem em uma configuração baseada na ordem patriarcal, que, por sua vez, é calcada na desigualdade de poder entre os gêneros (Peres &amp; Silva, 2022; Saffioti &amp; Almeida, 1995, 2001).</w:t>
      </w:r>
    </w:p>
    <w:p w14:paraId="63099423">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Albuquerque (2020) e Latino et al. (2025) argumentam que a violência contra as mulheres, tratada por eles como violência de gênero, é um fenômeno complexo e multifatorial, definido como qualquer ato de violência baseado no gênero da pessoa que cause dano ou sofrimento físico, sexual ou psicológico à mulher, incluindo ameaças, coerção e cerceamento da liberdade. Um sinal disso é o aumento de casos de violência contra as mulheres (Goronski &amp; Batista, 2024; Hoffmann et al., 2022; Santos &amp; Nascimento, 2021).</w:t>
      </w:r>
    </w:p>
    <w:p w14:paraId="0184F79C">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Hoffmann et al. (2022) apontaram em seu estudo que a palavra gênero aparece em 499 instâncias da BNCC (Ministério da Educação, 2019), mas está associada ao “gênero textual” ou “gênero literário” ou “gênero discursivo”. Peres e Silva (2022) apontam que a falta da voz curricular no que se refere às estruturas de gênero que estão presentes na sociedade é traduzida em uma carta branca à submissão em prol dos opressores.</w:t>
      </w:r>
    </w:p>
    <w:p w14:paraId="651BC209">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A literatura revisada converge para a compreensão da violência contra as mulheres como fenômeno estrutural, isto é, como conjunto de incidentes “isolados” e como padrão social enraizado na ordem patriarcal e na desigualdade de poder entre os sexos (Collins &amp;</w:t>
      </w:r>
      <w:r>
        <w:rPr>
          <w:rFonts w:ascii="Times New Roman" w:hAnsi="Times New Roman" w:eastAsia="Times New Roman" w:cs="Times New Roman"/>
          <w:color w:val="221E1F"/>
          <w:sz w:val="24"/>
          <w:szCs w:val="24"/>
        </w:rPr>
        <w:t xml:space="preserve"> Bilge</w:t>
      </w:r>
      <w:r>
        <w:rPr>
          <w:rFonts w:ascii="Times New Roman" w:hAnsi="Times New Roman" w:eastAsia="Times New Roman" w:cs="Times New Roman"/>
          <w:color w:val="221E1F"/>
          <w:sz w:val="24"/>
          <w:szCs w:val="24"/>
          <w:lang w:val="pt-BR"/>
        </w:rPr>
        <w:t xml:space="preserve">, 2020; Peres &amp; Silva, 2022; </w:t>
      </w:r>
      <w:r>
        <w:rPr>
          <w:rFonts w:ascii="Times New Roman" w:hAnsi="Times New Roman" w:eastAsia="Times New Roman" w:cs="Times New Roman"/>
          <w:color w:val="221E1F"/>
          <w:sz w:val="24"/>
          <w:szCs w:val="24"/>
        </w:rPr>
        <w:t>Saffioti &amp; Almeida</w:t>
      </w:r>
      <w:r>
        <w:rPr>
          <w:rFonts w:ascii="Times New Roman" w:hAnsi="Times New Roman" w:eastAsia="Times New Roman" w:cs="Times New Roman"/>
          <w:color w:val="221E1F"/>
          <w:sz w:val="24"/>
          <w:szCs w:val="24"/>
          <w:lang w:val="pt-BR"/>
        </w:rPr>
        <w:t>, 1995; 2001). Albuquerque (2020) e Latino et al. (2025) ampliam essa definição ao caracterizá-la como violência de gênero, qualquer ato baseado no gênero que cause dano físico, sexual ou psicológico. O que esses estudos evidenciam, contudo, é que essa estrutura não fica do lado de fora da escola: Oliveira e Melo (2024), Pinafi (2007) e Batista (2021) mostram que o ambiente escolar costuma concentrar e reproduzir comportamentos já estabelecidos socialmente. Funciona como espelho da cultura patriarcal. Nesse sentido, a escola é cenário dessa violência e espaço de sua “aprendizagem” e legitimação simbólica, conforme é campo de subjetivação das relações de poder e espaço da formação da sociabilidade (Peres; Silva, 2022), em que papéis de gênero hierarquizados são reiterados até mesmo pelas práticas pedagógicas cotidianas (Marciano &amp; Richartz, 2024).</w:t>
      </w:r>
    </w:p>
    <w:p w14:paraId="74EFAD1B">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Em consequência disso, os temas relativos à desigualdade de gênero muitas vezes são driblados ou pouco abordados nos ambientes escolares. Observa-se que as práticas frequentemente são descontextualizadas com ações desvinculadas do contexto e relacionadas ao calendário escolar, como as executadas durante a Semana da Mulher (Batista, 2021). Este enfoque restrito não incentiva a investigação constante de temas transversais e o debate sobre identidade, fundamentais para a formação de cidadãos mais engajados (Araújo et al., 2025).</w:t>
      </w:r>
    </w:p>
    <w:p w14:paraId="29D0E84F">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Para Peres e Silva (2022), a violência simbólica vai além da força física; muitas vezes, ela se manifesta por meio da imposição social ou pressão psicológica. Para combater isso, a sala de aula precisa ser um espaço de discussão ativa para não se tornar um espaço de reprodução de preconceitos e discriminação, que muitas vezes ocorrem por meio de práticas pedagógicas que sustentam a hierarquia (Marciano &amp; Richartz, 2024).</w:t>
      </w:r>
    </w:p>
    <w:p w14:paraId="4E6CF025">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Nesse contexto, a Lei 11.340/2006 (Brasil, 2023), Lei Maria da Penha, é uma importante fonte para compreensão das violências, e aponta, no seu art.7, que essas acontecem de muitas formas, às vezes fisicamente, psicologicamente, sexualmente, patrimonialmente e moralmente. Além disso, determina a pena para os agressores, ações de enfrentamento, prevenção de violências e medidas de apoio às mulheres e demais familiares envolvidos na situação. </w:t>
      </w:r>
    </w:p>
    <w:p w14:paraId="4445A64A">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 Marie France Hirigoyen (2006) escreve sobre o estresse pós-traumático nas mulheres que foram vítimas de violência, e afirma em suas pesquisas as consequências severas relacionadas às experiências vividas, como ansiedade, insegurança, angústias, irregularidades no sono e outras perturbações nas estruturas cerebrais difíceis de contornar. A bem da verdade, a violência contra as mulheres está entranhada em uma cultura patriarcal que percebe tais violências como já incorporadas no meio social (Bandeira &amp; Amorim, 2013; Saffioti, 2004), e que tem em sua estrutura a subjugação dos corpos feminizados, e políticas e processos de formação social que tendem a secundarizar os debates sobre o tema. </w:t>
      </w:r>
    </w:p>
    <w:p w14:paraId="3F093F79">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Scott (1995) entende que o gênero é um elemento que forma as relações sociais por meio das diferenças sócio-históricas de poder entre os sexos. Louro (2008) apoia a ideia de que o gênero e a sexualidade são socialmente construídos por meio da vivência em sociedade e de forma constante. Ela também defende que o ambiente escolar possui uma função ímpar nesse processo por meio da sua estrutura curricular e corpo docente. </w:t>
      </w:r>
    </w:p>
    <w:p w14:paraId="60D4CF95">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A violência contra as mulheres se faz presente no contexto escolar e se revela como algo negativo para toda a comunidade (Batista, 2021). Assim sendo, a escola, como um ambiente central para a socialização, costuma concentrar e reproduzir comportamentos já estabelecidos socialmente (Oliveira &amp; Melo, 2024; Pinafi, 2007). </w:t>
      </w:r>
    </w:p>
    <w:p w14:paraId="5F2C8408">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A escola é o ambiente de socialização secundária, sendo, portanto, um espaço de amplas trocas culturais e de identidade e, dessa forma, ela compreende e reproduz os comportamentos e padrões já estabelecidos nas relações sociais (Rodrigues et al., 2022). É também, dentro das escolas, que muitas denúncias de violações de direitos ocorrem, vindas de estudantes e dos profissionais da educação (Oliveira &amp; Melo, 2024).</w:t>
      </w:r>
    </w:p>
    <w:p w14:paraId="49D21F3E">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A escola é um ambiente rico para a discussão e o combate à normalização da violência, funcionando como um ambiente favorável para a formação de novos cidadãos (Rodrigues et al., 2022; Marciano &amp; Richartz, 2024). Ela tem um papel central na formação cidadã (Goronski &amp; Batista, 2024).</w:t>
      </w:r>
    </w:p>
    <w:p w14:paraId="1D055C6D">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A escola é fundamental na prevenção e contenção da violência na vida emocional e interpessoal dos jovens (Latino et al., 2025). Segundo Adorno, a educação é o meio para combater a barbárie (entendida como qualquer tipo de violência naturalizada, como a violência de gênero) (Peres &amp; Silva, 2022). Em virtude disso, compreende-se que a educação deve ser libertadora e focada na autorreflexão crítica, revelando os processos que habilitam as pessoas a cometer atos de barbárie, como a violência, tentando inibir a sua reprodução. Essa educação deve ser direcionada para a não-dominação, combatendo todas as formas de opressão e alicerçada no compromisso com a tolerância, a solidariedade e o respeito (Vilela, 2007).</w:t>
      </w:r>
    </w:p>
    <w:p w14:paraId="71B77F56">
      <w:pPr>
        <w:pBdr>
          <w:top w:val="none" w:color="auto" w:sz="0" w:space="0"/>
          <w:left w:val="none" w:color="auto" w:sz="0" w:space="0"/>
          <w:bottom w:val="none" w:color="auto" w:sz="0" w:space="0"/>
          <w:right w:val="none" w:color="auto" w:sz="0" w:space="0"/>
          <w:between w:val="none" w:color="auto" w:sz="0" w:space="0"/>
        </w:pBdr>
        <w:spacing w:after="0" w:line="360" w:lineRule="auto"/>
        <w:ind w:firstLine="278"/>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Também, como instituição regulamentada pelo Estado, a escola não se limita à transmissão de conteúdos formais: ela também veicula valores culturais e ideológicos historicamente determinados. O currículo escolar reflete, então, escolhas técnicas e decisões sobre o que é socialmente valorizado em um determinado período. Se a desigualdade de gênero estrutura uma sociedade que privilegia o masculino em detrimento do feminino, a escola que omite essa discussão reforça, silenciosamente, a subordinação das mulheres (Marciano &amp; Richartz, 2024).</w:t>
      </w:r>
    </w:p>
    <w:p w14:paraId="279CF9DC">
      <w:pPr>
        <w:pBdr>
          <w:top w:val="none" w:color="auto" w:sz="0" w:space="0"/>
          <w:left w:val="none" w:color="auto" w:sz="0" w:space="0"/>
          <w:bottom w:val="none" w:color="auto" w:sz="0" w:space="0"/>
          <w:right w:val="none" w:color="auto" w:sz="0" w:space="0"/>
          <w:between w:val="none" w:color="auto" w:sz="0" w:space="0"/>
        </w:pBdr>
        <w:spacing w:after="0" w:line="360" w:lineRule="auto"/>
        <w:ind w:firstLine="278"/>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Ainda para (Marciano &amp; Richartz, 2024), a escola pode desnaturalizar a violência contra as mulheres ao promover reflexão crítica e reconhecimento de si e do outro. Ela pode provocar os estudantes a reconhecerem tanto as dinâmicas opressivas presentes no ambiente escolar quanto as próprias experiências de vulnerabilidade ou privilégio. </w:t>
      </w:r>
    </w:p>
    <w:p w14:paraId="4C2A2AE3">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 xml:space="preserve">Nesse sentido, o papel da escola é fundamental para a sensibilização do estudante quanto às possibilidades de aquisição de conhecimentos para sua vivência em qualquer ambiente social, possibilitando que aprenda, no ambiente escolar e nas situações cotidianas, a reconhecer os papéis sociais e as práticas que naturalizam a violência de gênero (Araujo et al. 2025). </w:t>
      </w:r>
    </w:p>
    <w:p w14:paraId="663B24A7">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rPr>
        <w:t>Partindo da concepção da</w:t>
      </w:r>
      <w:r>
        <w:rPr>
          <w:rFonts w:ascii="Times New Roman" w:hAnsi="Times New Roman" w:eastAsia="Times New Roman" w:cs="Times New Roman"/>
          <w:color w:val="221E1F"/>
          <w:sz w:val="24"/>
          <w:szCs w:val="24"/>
          <w:lang w:val="pt-BR"/>
        </w:rPr>
        <w:t xml:space="preserve"> violência contra as mulheres como fenômeno estrutural enraizado na ordem patriarcal e na desigualdade de poder entre os sexos (Collins &amp; </w:t>
      </w:r>
      <w:r>
        <w:rPr>
          <w:rFonts w:ascii="Times New Roman" w:hAnsi="Times New Roman" w:eastAsia="Times New Roman" w:cs="Times New Roman"/>
          <w:color w:val="221E1F"/>
          <w:sz w:val="24"/>
          <w:szCs w:val="24"/>
        </w:rPr>
        <w:t>Bilge</w:t>
      </w:r>
      <w:r>
        <w:rPr>
          <w:rFonts w:ascii="Times New Roman" w:hAnsi="Times New Roman" w:eastAsia="Times New Roman" w:cs="Times New Roman"/>
          <w:color w:val="221E1F"/>
          <w:sz w:val="24"/>
          <w:szCs w:val="24"/>
          <w:lang w:val="pt-BR"/>
        </w:rPr>
        <w:t xml:space="preserve">, 2020; Peres &amp; Silva, 2022; </w:t>
      </w:r>
      <w:r>
        <w:rPr>
          <w:rFonts w:ascii="Times New Roman" w:hAnsi="Times New Roman" w:eastAsia="Times New Roman" w:cs="Times New Roman"/>
          <w:color w:val="221E1F"/>
          <w:sz w:val="24"/>
          <w:szCs w:val="24"/>
        </w:rPr>
        <w:t>Saffioti &amp; Almeida</w:t>
      </w:r>
      <w:r>
        <w:rPr>
          <w:rFonts w:ascii="Times New Roman" w:hAnsi="Times New Roman" w:eastAsia="Times New Roman" w:cs="Times New Roman"/>
          <w:color w:val="221E1F"/>
          <w:sz w:val="24"/>
          <w:szCs w:val="24"/>
          <w:lang w:val="pt-BR"/>
        </w:rPr>
        <w:t>, 1995; 2001), Albuquerque (2020) e Latino et al. (2025) ampliam essa definição ao caracterizá-la como violência de gênero, que, no entendimento deles, engloba qualquer ato baseado no gênero que cause danos físico, sexual ou psicológico. </w:t>
      </w:r>
    </w:p>
    <w:p w14:paraId="05FA16FA">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O que esses estudos evidenciam, contudo, é que essa estrutura não fica do lado de fora da escola. Oliveira e Melo (2024), Pinafi (2007) e Batista (2021) nos ensinam que o ambiente escolar costuma reproduzir comportamentos já estabelecidos socialmente, funcionando, nesse caso, como continuação de uma cultura patriarcal. </w:t>
      </w:r>
    </w:p>
    <w:p w14:paraId="66503568">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Dito de outro modo, a escola não é apenas o cenário em que a violência "acontece", em vez disso, ela acaba, muitas vezes, sendo o espaço de sua legitimação simbólica (Peres &amp; Silva, 2022). Um campo no qual os papéis de gênero hierarquizados são reiterados até mesmo pelas práticas pedagógicas cotidianas (Marciano &amp; Richartz, 2024). Por isso, a ação-reflexão-ação do professor é um movimento de autocrítica e conscientização (Freire, 1996), necessária para a produção de espaços de resistência e enfrentamento à dominação social no contexto escolar.</w:t>
      </w:r>
    </w:p>
    <w:p w14:paraId="2E1DC6A7">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A literatura revisada, no entanto, adverte contra uma abordagem homogênea da violência contra as mulheres, evidenciando a necessidade de uma lente interseccional. Autores como Collins e Bilge (2020) e os dados empíricos do estudo de Moriyasu et al. (2025) demonstram que a exclusão educacional e a violência não atingem todas as meninas e mulheres da mesma forma. Crianças com deficiência, por exemplo, têm 47% mais probabilidade de estarem fora do ensino fundamental e 33% mais probabilidade de estarem fora do ensino médio, e a situação se agrava drasticamente quando a condição de deficiência se cruza com o gênero e a classe social: meninas com deficiência de famílias de baixa renda enfrentam taxas de exclusão ainda maiores (Moriyasu et al., 2025). O estudo revela que apenas 11% dos países garantem o acesso fundamental à educação independentemente de gênero, deficiência e condição socioeconômica, evidenciando como a sobreposição de marcadores sociais produz vulnerabilidades específicas.</w:t>
      </w:r>
    </w:p>
    <w:p w14:paraId="475AAF69">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No Brasil, essa realidade se confirma com dados alarmantes: entre 2011 e 2019, 98.219 mulheres negras foram vítimas de estupro, o que representa mais da metade dos casos em que a raça foi informada (Peres &amp; Silva, 2022). Esse dado, como apontam Peres e Silva (2022), revela um fato frequentemente silenciado: a violência sexual atinge as mulheres de forma desproporcional, com o racismo estrutural e o sexismo operando de maneira entrelaçada para produzir um padrão de vitimização que recai de forma mais severa sobre corpos negros e periferizados.</w:t>
      </w:r>
    </w:p>
    <w:p w14:paraId="7D083891">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Essa constatação qualifica nosso argumento sobre o papel da escola. Se a escola quer se constituir como antítese social da sociedade, não pode operar com uma categoria universal e abstrata de "mulher". Meninas negras, indígenas, com deficiência, em situação de pobreza ou em contextos rurais vivenciam a violência de formas singulares. É o que Goronski e Batista (2024) demonstram ao analisar a produção de podcasts sobre mulheres na Geografia: os estudantes, ao abordarem a trajetória de Enedina Alves Marques, identificaram as intersecções de gênero, raça e classe que marcaram sua vida, percebendo que o preconceito racial e de classe agravou a opressão de gênero que ela sofreu. Nesse sentido, a escola que se pretende crítica deve operar com essa lente, desconstruindo a naturalização da violência contra mulheres negras e promovendo um currículo que, como defende Hooks (2017), "vá contra a corrente" e reconheça a pluralidade de experiências.</w:t>
      </w:r>
    </w:p>
    <w:p w14:paraId="3F6F0252">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Então, tendo chegado até esse ponto, sabemos que a violência contra as mulheres é um problema grave que permeia toda a sociedade brasileira e que a educação escolar pode ter um papel no combate a essa e a outras formas de violências arraigadas histórica e estruturalmente na cultura, em instituições e práticas sociais brasileiras. </w:t>
      </w:r>
    </w:p>
    <w:p w14:paraId="20B8D025">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A violência contra as mulheres se constitui como fenômeno estrutural enraizado na ordem patriarcal, e a escola oscila entre ser continuação do mundo e ser sua antítese, e essa oscilação não é acidental. Ela depende do que o currículo torna visível ou invisível, do que a formação docente autoriza ou proíbe, do que a política educacional nomeia ou silencia. A questão, então, não é se a escola pode combater a violência contra as mulheres; a literatura revisada deixa claro que ela pode, e que, em certas condições, até o faz. A questão é se as condições atuais permitem que essa antítese seja mais do que exceção heroica, se ela pode ser, de fato, projeto institucional.</w:t>
      </w:r>
    </w:p>
    <w:p w14:paraId="6D15D270">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A escola é uma instituição estatal que transmite, além de conteúdos formais, valores culturais e ideológicos historicamente situados (Richartz &amp; Santana, 2021). Por isso, o currículo é decisão apenas técnica, mas não meramente ou somente técnica; é também, e talvez sobretudo, decisão política: ele reflete o que uma sociedade valoriza num dado momento. Como gênero e sexualidade são construídos socialmente de forma contínua (Louro, 2008). A escola que silencia essas questões reforça a desigualdade estrutural; a escola que as problematiza, por outro lado, torna-se espaço de desconstrução dos estereótipos que sustentam a violência contra as mulheres (Marciano &amp; Richartz, 2024).</w:t>
      </w:r>
    </w:p>
    <w:p w14:paraId="7936F8F6">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Já que a escola é tão central nesse processo de conformação social e subjetivação das relações de poder, talvez ela possa ser espaço estratégico de ruptura com a naturalização da violência contra as mulheres.</w:t>
      </w:r>
    </w:p>
    <w:p w14:paraId="4CF9F352">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Rodrigues et al. (2022), assim como Marciano e Richartz (2024), nos dizem que a escola reproduz e simultaneamente pode desconstruir. Conforme ela vai ganhando autoconsciência crítica ao promover a reflexão sobre suas próprias contradições, sem pretender resolvê-las com “praticismos” e sem necessariamente se conformar ao mimetismo da sociedade a qual pertence, ela pode assumir seu caráter político e transformador. A escola pode se exercitar enquanto antítese social da sociedade.</w:t>
      </w:r>
    </w:p>
    <w:p w14:paraId="2BF877AB">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O problema é que esse exercício exige condições. Se o currículo oficial omite ou dilui as estruturas de gênero (Hoffmann et al., 2022), a escola fica desarmada para exercer sua função crítica. O medo dos usos críticos dos elementos pedagógicos toma conta da escola. Peres e Silva (2022) têm razão ao chamar essa omissão de "carta branca à submissão". Um currículo que não nomeia a desigualdade a torna invisível na prática docente e, consequentemente, torna a própria escola cúmplice da violência contra as mulheres. </w:t>
      </w:r>
    </w:p>
    <w:p w14:paraId="76139DA8">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Um sinal vermelho nesse cenário é que, conforme Hoffmann et al. (2022), a palavra "gênero" aparece na BNCC 499 vezes, embora quase sempre vinculada a "gênero textual" ou "gênero discursivo". Ou seja, a política pública mais importante do currículo brasileiro dos últimos anos deslocou o gênero do corpo para a linguagem. Que tipo de orientação normativo-metodológica pode ser essa? Ou, melhor, que tipo de educação podemos construir e que tipo de escola podemos construir, baseando-nos nesse horizonte curricular? Esse é o tamanho do nosso desafio em pensar possibilidades de enfrentamento à violência contra as mulheres desde a nossa práxis educativa na escola.</w:t>
      </w:r>
    </w:p>
    <w:p w14:paraId="69941B42">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É por isso que, se Albuquerque (2020) e Latino et al. (2025) têm razão ao caracterizar a violência de gênero como fenômeno multifatorial, dano físico, sexual ou psicológico, então a escola não pode se contentar com campanhas pontuais. Ela precisa lidar com a estrutura que produz e mantém o dano. Estrutura essa constituída por instituições, processos sociais e práticas nas quais e por meio das quais produzimos e reproduzimos, consciente ou inconscientemente, mas ainda assim de formas ativas, essa sociabilidade violenta.</w:t>
      </w:r>
    </w:p>
    <w:p w14:paraId="71E69C19">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Se a violência contra as mulheres é estrutural, o seu enfrentamento na escola não pode ser pontual nem compensatório. Ele exige que a instituição reconheça sua própria participação na produção dessa estrutura e que, a partir desse reconhecimento, se arrisque a ser outra coisa. Mas que condições políticas, curriculares e subjetivas tornam esse comprometer-se possível? </w:t>
      </w:r>
    </w:p>
    <w:p w14:paraId="36FF6537">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Também, reiterando, o nosso ponto, se Albuquerque (2020) e Latino et al. (2025) tem razão ao caracterizar a violência de gênero como fenômeno multifatorial, ato que causa danos físico, sexual ou psicológico; então a escola não pode se contentar com campanhas pontuais. Ela precisa lidar com a estrutura que produz o dano." </w:t>
      </w:r>
    </w:p>
    <w:p w14:paraId="674F848B">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 xml:space="preserve">Retomando a problematização inicial desta pesquisa, os resultados evidenciam que a produção acadêmica recente reconhece a escola em sua mais profunda contradição: ela é, simultaneamente, engrenagem de reprodução da barbárie e campo incontornável de emancipação. A invisibilidade do problema, fomentada pela omissão deliberada em documentos normativos como a BNCC, que ao esvaziar o conceito de gênero de seu caráter estrutural e político, atua na manutenção da ordem patriarcal. </w:t>
      </w:r>
    </w:p>
    <w:p w14:paraId="1098EB81">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Os estudos analisados confirmam que essa ausência institucional, somada ao reacionarismo contemporâneo, consolida o "medo pedagógico" que paralisa o corpo docente e reduz o enfrentamento a ações pontuais e descontextualizadas. Desse modo, a literatura responde ao nosso questionamento revelando que a escola, quando se cala ou se restringe ao calendário comemorativo, legitima simbolicamente a violência e torna-se cúmplice da estrutura que violenta as mulheres cotidianamente.</w:t>
      </w:r>
    </w:p>
    <w:p w14:paraId="5E4C7DDB">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 xml:space="preserve">Para superar esse impasse e efetivar seu papel no combate a essa violência, a literatura aponta que a escola precisa se assumir como antítese social da sociedade. Isso significa que o enfrentamento não se dará por campanhas isoladas, mas pela incorporação de uma postura crítico-reflexiva e transversal que perpasse todo o currículo. Os achados indicam a urgência de pensar e agir a partir de práticas pedagógicas que desnaturalizem as hierarquias opressivas e, fundamentalmente, que operem sob uma lente interseccional, reconhecendo que a violência atinge de formas plurais e mais severas as mulheres negras, indígenas, pobres e com deficiência. </w:t>
      </w:r>
    </w:p>
    <w:p w14:paraId="2AC9ECCA">
      <w:pPr>
        <w:pBdr>
          <w:top w:val="none" w:color="auto" w:sz="0" w:space="0"/>
          <w:left w:val="none" w:color="auto" w:sz="0" w:space="0"/>
          <w:bottom w:val="none" w:color="auto" w:sz="0" w:space="0"/>
          <w:right w:val="none" w:color="auto" w:sz="0" w:space="0"/>
          <w:between w:val="none" w:color="auto" w:sz="0" w:space="0"/>
        </w:pBdr>
        <w:spacing w:after="0" w:line="360" w:lineRule="auto"/>
        <w:ind w:firstLine="280"/>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Em suma, as evidências mostram que, para deixar de ser espelho da violência social, a instituição escolar deve politizar o seu currículo, apoiar a práxis docente contra o medo e tensionar ativamente as próprias estruturas, consolidando-se como um espaço permanente de desconstrução, proteção e libertação. A escola não pode ser pensada como um espaço automaticamente emancipatório. Ela é, antes de tudo, um campo de luta por sobrevivência e reconhecimento. Disputa entre o currículo que omite e a prática que, às vezes, ousa nomear; entre o medo pedagógico alimentado por um contexto reacionário de sucateamento, precarização e ataque a tod@s trabalhador@s da educação e a coragem de quem, ainda assim, insiste na possibilidade crítico-educativa.</w:t>
      </w:r>
    </w:p>
    <w:p w14:paraId="7428CC87">
      <w:pPr>
        <w:pBdr>
          <w:top w:val="none" w:color="auto" w:sz="0" w:space="0"/>
          <w:left w:val="none" w:color="auto" w:sz="0" w:space="0"/>
          <w:bottom w:val="none" w:color="auto" w:sz="0" w:space="0"/>
          <w:right w:val="none" w:color="auto" w:sz="0" w:space="0"/>
          <w:between w:val="none" w:color="auto" w:sz="0" w:space="0"/>
        </w:pBdr>
        <w:spacing w:before="240" w:line="360" w:lineRule="auto"/>
        <w:jc w:val="both"/>
        <w:rPr>
          <w:rFonts w:ascii="Times New Roman" w:hAnsi="Times New Roman" w:eastAsia="Times New Roman" w:cs="Times New Roman"/>
          <w:b/>
          <w:bCs/>
          <w:color w:val="221E1F"/>
          <w:sz w:val="24"/>
          <w:szCs w:val="24"/>
        </w:rPr>
      </w:pPr>
      <w:r>
        <w:rPr>
          <w:rFonts w:ascii="Times New Roman" w:hAnsi="Times New Roman" w:eastAsia="Times New Roman" w:cs="Times New Roman"/>
          <w:b/>
          <w:bCs/>
          <w:color w:val="221E1F"/>
          <w:sz w:val="24"/>
          <w:szCs w:val="24"/>
        </w:rPr>
        <w:t>CONCLUSÃO</w:t>
      </w:r>
    </w:p>
    <w:p w14:paraId="0044785C">
      <w:pPr>
        <w:pBdr>
          <w:top w:val="none" w:color="auto" w:sz="0" w:space="0"/>
          <w:left w:val="none" w:color="auto" w:sz="0" w:space="0"/>
          <w:bottom w:val="none" w:color="auto" w:sz="0" w:space="0"/>
          <w:right w:val="none" w:color="auto" w:sz="0" w:space="0"/>
          <w:between w:val="none" w:color="auto" w:sz="0" w:space="0"/>
        </w:pBdr>
        <w:spacing w:after="0" w:line="360" w:lineRule="auto"/>
        <w:ind w:firstLine="278"/>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A investigação sobre a violência contra as mulheres no ambiente escolar exige pensar as engrenagens do patriarcado e do capitalismo, as legislações vigentes e as contribuições feministas, tensionando tudo isso sob a perspectiva do currículo escolar. Ao longo deste estudo, se entende a urgência de colocar a escola no centro do combate a essas violências, mas, paralelamente, desvelar as imensas barreiras políticas e institucionais que dificultam a realização de ações concretas nesse sentido.</w:t>
      </w:r>
    </w:p>
    <w:p w14:paraId="5DCA21C9">
      <w:pPr>
        <w:pBdr>
          <w:top w:val="none" w:color="auto" w:sz="0" w:space="0"/>
          <w:left w:val="none" w:color="auto" w:sz="0" w:space="0"/>
          <w:bottom w:val="none" w:color="auto" w:sz="0" w:space="0"/>
          <w:right w:val="none" w:color="auto" w:sz="0" w:space="0"/>
          <w:between w:val="none" w:color="auto" w:sz="0" w:space="0"/>
        </w:pBdr>
        <w:spacing w:after="0" w:line="360" w:lineRule="auto"/>
        <w:ind w:firstLine="278"/>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Demonstramos, por meio da revisão sistemática da produção acadêmica recente (2020-2025), que a própria organização curricular contemporânea atua como um obstáculo. Instrumentos normativos de ampla implementação como a BNCC, ao engessarem os conteúdos e reprimirem a discussão estrutural sobre gênero e sexualidade, intervém a discussão sobre a realidade vivida. Essa omissão oficial assegura uma verdadeira “carta branca à submissão” e fomenta a produção de um “medo pedagógico” que paralisa os educadores, sufoca a escola e impossibilita um trabalho crítico-educativo, perpetuando a violência estrutural da sociedade.</w:t>
      </w:r>
    </w:p>
    <w:p w14:paraId="2E7EF6FC">
      <w:pPr>
        <w:pBdr>
          <w:top w:val="none" w:color="auto" w:sz="0" w:space="0"/>
          <w:left w:val="none" w:color="auto" w:sz="0" w:space="0"/>
          <w:bottom w:val="none" w:color="auto" w:sz="0" w:space="0"/>
          <w:right w:val="none" w:color="auto" w:sz="0" w:space="0"/>
          <w:between w:val="none" w:color="auto" w:sz="0" w:space="0"/>
        </w:pBdr>
        <w:spacing w:after="0" w:line="360" w:lineRule="auto"/>
        <w:ind w:firstLine="278"/>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Contudo, esta pesquisa demonstra principalmente a natureza dialética da instituição escolar: ela pode combater a violência contra as mulheres, mesmo sendo um espaço histórico de sua reprodução. O impasse entre a potência crítico-emancipatória da educação e o medo pedagógico alimentado por um contexto reacionário só pode ser superado se a escola reconhecer o seu potencial a partir da autocrítica. Concluímos, assim, pela necessidade de uma criticidade na ambiguidade: a escola precisa se reconhecer como cúmplice da barbárie para, só então, conseguir trabalhar imersa na contradição, consciente de sua completa irresolutibilidade, mas firme em seu propósito de enfrentamento.</w:t>
      </w:r>
    </w:p>
    <w:p w14:paraId="57D5F70A">
      <w:pPr>
        <w:pBdr>
          <w:top w:val="none" w:color="auto" w:sz="0" w:space="0"/>
          <w:left w:val="none" w:color="auto" w:sz="0" w:space="0"/>
          <w:bottom w:val="none" w:color="auto" w:sz="0" w:space="0"/>
          <w:right w:val="none" w:color="auto" w:sz="0" w:space="0"/>
          <w:between w:val="none" w:color="auto" w:sz="0" w:space="0"/>
        </w:pBdr>
        <w:spacing w:after="0" w:line="360" w:lineRule="auto"/>
        <w:ind w:firstLine="278"/>
        <w:jc w:val="both"/>
        <w:rPr>
          <w:rFonts w:ascii="Times New Roman" w:hAnsi="Times New Roman" w:eastAsia="Times New Roman" w:cs="Times New Roman"/>
          <w:color w:val="221E1F"/>
          <w:sz w:val="24"/>
          <w:szCs w:val="24"/>
          <w:lang w:val="pt-BR"/>
        </w:rPr>
      </w:pPr>
      <w:r>
        <w:rPr>
          <w:rFonts w:ascii="Times New Roman" w:hAnsi="Times New Roman" w:eastAsia="Times New Roman" w:cs="Times New Roman"/>
          <w:color w:val="221E1F"/>
          <w:sz w:val="24"/>
          <w:szCs w:val="24"/>
          <w:lang w:val="pt-BR"/>
        </w:rPr>
        <w:t>Por fim, defendemos que a educação escolar deve operar como antítese social da sociedade. É fundamental que a escola enfrente a realidade estimulando sua constante autocrítica e promovendo práticas pedagógicas transversais e interseccionais. Ao desnaturalizar os papéis sociais, visibilizar as pluralidades das vivências femininas e aprofundar o debate sobre o reconhecimento de si e do outro, a escola transcende a mera transmissão de conteúdos. Ela se consolida, assim, como um espaço vital de resistência e de construção de alternativas reais para a emancipação e a proteção da vida das mulheres.</w:t>
      </w:r>
    </w:p>
    <w:p w14:paraId="64269CCC">
      <w:pPr>
        <w:pBdr>
          <w:top w:val="none" w:color="auto" w:sz="0" w:space="0"/>
          <w:left w:val="none" w:color="auto" w:sz="0" w:space="0"/>
          <w:bottom w:val="none" w:color="auto" w:sz="0" w:space="0"/>
          <w:right w:val="none" w:color="auto" w:sz="0" w:space="0"/>
          <w:between w:val="none" w:color="auto" w:sz="0" w:space="0"/>
        </w:pBdr>
        <w:spacing w:before="240" w:after="0" w:line="360" w:lineRule="auto"/>
        <w:jc w:val="both"/>
        <w:rPr>
          <w:rFonts w:ascii="Times New Roman" w:hAnsi="Times New Roman" w:eastAsia="Times New Roman" w:cs="Times New Roman"/>
          <w:b/>
          <w:bCs/>
          <w:color w:val="221E1F"/>
          <w:sz w:val="24"/>
          <w:szCs w:val="24"/>
        </w:rPr>
      </w:pPr>
      <w:r>
        <w:rPr>
          <w:rFonts w:ascii="Times New Roman" w:hAnsi="Times New Roman" w:eastAsia="Times New Roman" w:cs="Times New Roman"/>
          <w:b/>
          <w:bCs/>
          <w:color w:val="221E1F"/>
          <w:sz w:val="24"/>
          <w:szCs w:val="24"/>
        </w:rPr>
        <w:t xml:space="preserve">REFERÊNCIAS </w:t>
      </w:r>
    </w:p>
    <w:p w14:paraId="69FE7FC5">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lang w:val="pt-BR"/>
        </w:rPr>
        <w:t xml:space="preserve">Adorno, T. (1995). </w:t>
      </w:r>
      <w:r>
        <w:rPr>
          <w:rFonts w:ascii="Times New Roman" w:hAnsi="Times New Roman" w:eastAsia="Times New Roman" w:cs="Times New Roman"/>
          <w:i/>
          <w:iCs/>
          <w:color w:val="221E1F"/>
          <w:lang w:val="pt-BR"/>
        </w:rPr>
        <w:t>Educação e emancipação</w:t>
      </w:r>
      <w:r>
        <w:rPr>
          <w:rFonts w:ascii="Times New Roman" w:hAnsi="Times New Roman" w:eastAsia="Times New Roman" w:cs="Times New Roman"/>
          <w:color w:val="221E1F"/>
          <w:lang w:val="pt-BR"/>
        </w:rPr>
        <w:t xml:space="preserve">. Paz e Terra. </w:t>
      </w:r>
      <w:r>
        <w:fldChar w:fldCharType="begin"/>
      </w:r>
      <w:r>
        <w:instrText xml:space="preserve"> HYPERLINK "https://encurtador.com.br/jxEa" \t "_blank" </w:instrText>
      </w:r>
      <w:r>
        <w:fldChar w:fldCharType="separate"/>
      </w:r>
      <w:r>
        <w:rPr>
          <w:rStyle w:val="12"/>
          <w:rFonts w:ascii="Times New Roman" w:hAnsi="Times New Roman" w:eastAsia="Times New Roman" w:cs="Times New Roman"/>
          <w:lang w:val="pt-BR"/>
        </w:rPr>
        <w:t>https://encurtador.com.br/jxEa</w:t>
      </w:r>
      <w:r>
        <w:rPr>
          <w:rStyle w:val="12"/>
          <w:rFonts w:ascii="Times New Roman" w:hAnsi="Times New Roman" w:eastAsia="Times New Roman" w:cs="Times New Roman"/>
          <w:lang w:val="pt-BR"/>
        </w:rPr>
        <w:fldChar w:fldCharType="end"/>
      </w:r>
    </w:p>
    <w:p w14:paraId="6378AB64">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lang w:val="pt-BR"/>
        </w:rPr>
        <w:t xml:space="preserve">Albuquerque, K. K. de. (2020). Diálogos de gênero na educação. </w:t>
      </w:r>
      <w:r>
        <w:rPr>
          <w:rFonts w:ascii="Times New Roman" w:hAnsi="Times New Roman" w:eastAsia="Times New Roman" w:cs="Times New Roman"/>
          <w:i/>
          <w:iCs/>
          <w:color w:val="221E1F"/>
          <w:lang w:val="pt-BR"/>
        </w:rPr>
        <w:t>Estudos Feministas, 28</w:t>
      </w:r>
      <w:r>
        <w:rPr>
          <w:rFonts w:ascii="Times New Roman" w:hAnsi="Times New Roman" w:eastAsia="Times New Roman" w:cs="Times New Roman"/>
          <w:color w:val="221E1F"/>
          <w:lang w:val="pt-BR"/>
        </w:rPr>
        <w:t>(2), 1–12.</w:t>
      </w:r>
    </w:p>
    <w:p w14:paraId="2753FAB7">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lang w:val="pt-BR"/>
        </w:rPr>
        <w:t xml:space="preserve">Araújo, A. G. de, Bernardo, A. P. D., Bezerra, J. D. dos S., Caldas, W. L., Dantas, V. C. de S., Matias, J. T., Martins, D. K. R., Melo, M. de L. A. de, Neto, S. B., Oliveira, J. L. de, Oliveira, O. B. de, &amp; Siqueira, I. da S. (2025). A perspectiva transdisciplinar da teoria de gênero na escola de campo–zona rural do município de Ipanguaçu: Um estudo de caso sobre mulheres. </w:t>
      </w:r>
      <w:r>
        <w:rPr>
          <w:rFonts w:ascii="Times New Roman" w:hAnsi="Times New Roman" w:eastAsia="Times New Roman" w:cs="Times New Roman"/>
          <w:i/>
          <w:iCs/>
          <w:color w:val="221E1F"/>
          <w:lang w:val="pt-BR"/>
        </w:rPr>
        <w:t>Revista Aracê, 7</w:t>
      </w:r>
      <w:r>
        <w:rPr>
          <w:rFonts w:ascii="Times New Roman" w:hAnsi="Times New Roman" w:eastAsia="Times New Roman" w:cs="Times New Roman"/>
          <w:color w:val="221E1F"/>
          <w:lang w:val="pt-BR"/>
        </w:rPr>
        <w:t xml:space="preserve">(8), 1–16. </w:t>
      </w:r>
      <w:r>
        <w:fldChar w:fldCharType="begin"/>
      </w:r>
      <w:r>
        <w:instrText xml:space="preserve"> HYPERLINK "https://doi.org/10.56238/arev7n8-050" \t "_blank" </w:instrText>
      </w:r>
      <w:r>
        <w:fldChar w:fldCharType="separate"/>
      </w:r>
      <w:r>
        <w:rPr>
          <w:rStyle w:val="12"/>
          <w:rFonts w:ascii="Times New Roman" w:hAnsi="Times New Roman" w:eastAsia="Times New Roman" w:cs="Times New Roman"/>
          <w:lang w:val="pt-BR"/>
        </w:rPr>
        <w:t>https://doi.org/10.56238/arev7n8-050</w:t>
      </w:r>
      <w:r>
        <w:rPr>
          <w:rStyle w:val="12"/>
          <w:rFonts w:ascii="Times New Roman" w:hAnsi="Times New Roman" w:eastAsia="Times New Roman" w:cs="Times New Roman"/>
          <w:lang w:val="pt-BR"/>
        </w:rPr>
        <w:fldChar w:fldCharType="end"/>
      </w:r>
    </w:p>
    <w:p w14:paraId="5BC5FAB9">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lang w:val="pt-BR"/>
        </w:rPr>
        <w:t xml:space="preserve">Bandeira, K. L. C., &amp; Amorim, E. R. A. (2013). </w:t>
      </w:r>
      <w:r>
        <w:rPr>
          <w:rFonts w:ascii="Times New Roman" w:hAnsi="Times New Roman" w:eastAsia="Times New Roman" w:cs="Times New Roman"/>
          <w:i/>
          <w:iCs/>
          <w:color w:val="221E1F"/>
          <w:lang w:val="pt-BR"/>
        </w:rPr>
        <w:t>De olhos abertos contra a violência: Curso de capacitação dos profissionais especializados e da rede de atendimento à mulher em situação de violência em Caruaru-PE</w:t>
      </w:r>
      <w:r>
        <w:rPr>
          <w:rFonts w:ascii="Times New Roman" w:hAnsi="Times New Roman" w:eastAsia="Times New Roman" w:cs="Times New Roman"/>
          <w:color w:val="221E1F"/>
          <w:lang w:val="pt-BR"/>
        </w:rPr>
        <w:t>. [inserir nome da editora ou instituição, se houver].</w:t>
      </w:r>
    </w:p>
    <w:p w14:paraId="5530668B">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lang w:val="pt-BR"/>
        </w:rPr>
        <w:t xml:space="preserve">Bardin, L. (2016). </w:t>
      </w:r>
      <w:r>
        <w:rPr>
          <w:rFonts w:ascii="Times New Roman" w:hAnsi="Times New Roman" w:eastAsia="Times New Roman" w:cs="Times New Roman"/>
          <w:i/>
          <w:iCs/>
          <w:color w:val="221E1F"/>
          <w:lang w:val="pt-BR"/>
        </w:rPr>
        <w:t>Análise de conteúdo</w:t>
      </w:r>
      <w:r>
        <w:rPr>
          <w:rFonts w:ascii="Times New Roman" w:hAnsi="Times New Roman" w:eastAsia="Times New Roman" w:cs="Times New Roman"/>
          <w:color w:val="221E1F"/>
          <w:lang w:val="pt-BR"/>
        </w:rPr>
        <w:t>. Edições 70.</w:t>
      </w:r>
    </w:p>
    <w:p w14:paraId="3CDACC72">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lang w:val="pt-BR"/>
        </w:rPr>
        <w:t xml:space="preserve">Batista, P. A. (2021). Práticas pedagógicas no enfrentamento à violência contra mulheres. </w:t>
      </w:r>
      <w:r>
        <w:rPr>
          <w:rFonts w:ascii="Times New Roman" w:hAnsi="Times New Roman" w:eastAsia="Times New Roman" w:cs="Times New Roman"/>
          <w:i/>
          <w:iCs/>
          <w:color w:val="221E1F"/>
          <w:lang w:val="pt-BR"/>
        </w:rPr>
        <w:t>Eventos Pedagógicos, 12</w:t>
      </w:r>
      <w:r>
        <w:rPr>
          <w:rFonts w:ascii="Times New Roman" w:hAnsi="Times New Roman" w:eastAsia="Times New Roman" w:cs="Times New Roman"/>
          <w:color w:val="221E1F"/>
          <w:lang w:val="pt-BR"/>
        </w:rPr>
        <w:t xml:space="preserve">(1), 143–153. </w:t>
      </w:r>
      <w:r>
        <w:fldChar w:fldCharType="begin"/>
      </w:r>
      <w:r>
        <w:instrText xml:space="preserve"> HYPERLINK "https://doi.org/10.30681/reps.v12i1.10342" \t "_blank" </w:instrText>
      </w:r>
      <w:r>
        <w:fldChar w:fldCharType="separate"/>
      </w:r>
      <w:r>
        <w:rPr>
          <w:rStyle w:val="12"/>
          <w:rFonts w:ascii="Times New Roman" w:hAnsi="Times New Roman" w:eastAsia="Times New Roman" w:cs="Times New Roman"/>
          <w:lang w:val="pt-BR"/>
        </w:rPr>
        <w:t>https://doi.org/10.30681/reps.v12i1.10342</w:t>
      </w:r>
      <w:r>
        <w:rPr>
          <w:rStyle w:val="12"/>
          <w:rFonts w:ascii="Times New Roman" w:hAnsi="Times New Roman" w:eastAsia="Times New Roman" w:cs="Times New Roman"/>
          <w:lang w:val="pt-BR"/>
        </w:rPr>
        <w:fldChar w:fldCharType="end"/>
      </w:r>
    </w:p>
    <w:p w14:paraId="30E2051C">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lang w:val="pt-BR"/>
        </w:rPr>
        <w:t xml:space="preserve">Brasil. (2023). </w:t>
      </w:r>
      <w:r>
        <w:rPr>
          <w:rFonts w:ascii="Times New Roman" w:hAnsi="Times New Roman" w:eastAsia="Times New Roman" w:cs="Times New Roman"/>
          <w:i/>
          <w:iCs/>
          <w:color w:val="221E1F"/>
          <w:lang w:val="pt-BR"/>
        </w:rPr>
        <w:t>Lei nº 14.550, de 19 de abril de 2023. Altera a Lei nº 11.340/2006 (Lei Maria da Penha), para dispor sobre as medidas protetivas de urgência</w:t>
      </w:r>
      <w:r>
        <w:rPr>
          <w:rFonts w:ascii="Times New Roman" w:hAnsi="Times New Roman" w:eastAsia="Times New Roman" w:cs="Times New Roman"/>
          <w:color w:val="221E1F"/>
          <w:lang w:val="pt-BR"/>
        </w:rPr>
        <w:t>. Diário Oficial da União.</w:t>
      </w:r>
    </w:p>
    <w:p w14:paraId="69EAD8E3">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en-US"/>
        </w:rPr>
      </w:pPr>
      <w:r>
        <w:rPr>
          <w:rFonts w:ascii="Times New Roman" w:hAnsi="Times New Roman" w:eastAsia="Times New Roman" w:cs="Times New Roman"/>
          <w:color w:val="221E1F"/>
          <w:lang w:val="pt-BR"/>
        </w:rPr>
        <w:t xml:space="preserve">Cerdán-Torregrosa, A., Davó-Blanes, M. C., Comino, Í., Pérez-Martínez, V., &amp; Madrona-Bonastre, R. (2025). Investigando a violência no namoro entre adolescentes, gênero e recursos de saúde em uma intervenção educacional participativa: Uma avaliação de métodos mistos. </w:t>
      </w:r>
      <w:r>
        <w:rPr>
          <w:rFonts w:ascii="Times New Roman" w:hAnsi="Times New Roman" w:eastAsia="Times New Roman" w:cs="Times New Roman"/>
          <w:i/>
          <w:iCs/>
          <w:color w:val="221E1F"/>
          <w:lang w:val="en-US"/>
        </w:rPr>
        <w:t>Children and Youth Services Review, 170</w:t>
      </w:r>
      <w:r>
        <w:rPr>
          <w:rFonts w:ascii="Times New Roman" w:hAnsi="Times New Roman" w:eastAsia="Times New Roman" w:cs="Times New Roman"/>
          <w:color w:val="221E1F"/>
          <w:lang w:val="en-US"/>
        </w:rPr>
        <w:t xml:space="preserve">, Artigo 108144. </w:t>
      </w:r>
      <w:r>
        <w:fldChar w:fldCharType="begin"/>
      </w:r>
      <w:r>
        <w:instrText xml:space="preserve"> HYPERLINK "https://doi.org/10.1016/j.childyouth.2025.108144" \t "_blank" </w:instrText>
      </w:r>
      <w:r>
        <w:fldChar w:fldCharType="separate"/>
      </w:r>
      <w:r>
        <w:rPr>
          <w:rStyle w:val="12"/>
          <w:rFonts w:ascii="Times New Roman" w:hAnsi="Times New Roman" w:eastAsia="Times New Roman" w:cs="Times New Roman"/>
          <w:lang w:val="en-US"/>
        </w:rPr>
        <w:t>https://doi.org/10.1016/j.childyouth.2025.108144</w:t>
      </w:r>
      <w:r>
        <w:rPr>
          <w:rStyle w:val="12"/>
          <w:rFonts w:ascii="Times New Roman" w:hAnsi="Times New Roman" w:eastAsia="Times New Roman" w:cs="Times New Roman"/>
          <w:lang w:val="en-US"/>
        </w:rPr>
        <w:fldChar w:fldCharType="end"/>
      </w:r>
    </w:p>
    <w:p w14:paraId="718F74DF">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lang w:val="en-US"/>
        </w:rPr>
        <w:t xml:space="preserve">Collins, P. H., &amp; Bilge, S. (2020). </w:t>
      </w:r>
      <w:r>
        <w:rPr>
          <w:rFonts w:ascii="Times New Roman" w:hAnsi="Times New Roman" w:eastAsia="Times New Roman" w:cs="Times New Roman"/>
          <w:i/>
          <w:iCs/>
          <w:color w:val="221E1F"/>
          <w:lang w:val="pt-BR"/>
        </w:rPr>
        <w:t>Interseccionalidade</w:t>
      </w:r>
      <w:r>
        <w:rPr>
          <w:rFonts w:ascii="Times New Roman" w:hAnsi="Times New Roman" w:eastAsia="Times New Roman" w:cs="Times New Roman"/>
          <w:color w:val="221E1F"/>
          <w:lang w:val="pt-BR"/>
        </w:rPr>
        <w:t xml:space="preserve"> (R. Souza, Trad.). Boitempo.</w:t>
      </w:r>
    </w:p>
    <w:p w14:paraId="27838B3F">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lang w:val="pt-BR"/>
        </w:rPr>
        <w:t xml:space="preserve">Freire, P. (1996). </w:t>
      </w:r>
      <w:r>
        <w:rPr>
          <w:rFonts w:ascii="Times New Roman" w:hAnsi="Times New Roman" w:eastAsia="Times New Roman" w:cs="Times New Roman"/>
          <w:i/>
          <w:iCs/>
          <w:color w:val="221E1F"/>
          <w:lang w:val="pt-BR"/>
        </w:rPr>
        <w:t>Pedagogia da autonomia: Saberes necessários à prática educativa</w:t>
      </w:r>
      <w:r>
        <w:rPr>
          <w:rFonts w:ascii="Times New Roman" w:hAnsi="Times New Roman" w:eastAsia="Times New Roman" w:cs="Times New Roman"/>
          <w:color w:val="221E1F"/>
          <w:lang w:val="pt-BR"/>
        </w:rPr>
        <w:t>. Paz e Terra.</w:t>
      </w:r>
    </w:p>
    <w:p w14:paraId="7C81A9A7">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lang w:val="pt-BR"/>
        </w:rPr>
        <w:t xml:space="preserve">Goronski, M. A., &amp; Batista, N. L. (2024). Mulherando o mundo: Enfrentamento da desigualdade de gênero como perspectiva da geografia no ensino fundamental. </w:t>
      </w:r>
      <w:r>
        <w:rPr>
          <w:rFonts w:ascii="Times New Roman" w:hAnsi="Times New Roman" w:eastAsia="Times New Roman" w:cs="Times New Roman"/>
          <w:i/>
          <w:iCs/>
          <w:color w:val="221E1F"/>
          <w:lang w:val="pt-BR"/>
        </w:rPr>
        <w:t>Estudos Geográficos: Revista Eletrônica de Geografia, 22</w:t>
      </w:r>
      <w:r>
        <w:rPr>
          <w:rFonts w:ascii="Times New Roman" w:hAnsi="Times New Roman" w:eastAsia="Times New Roman" w:cs="Times New Roman"/>
          <w:color w:val="221E1F"/>
          <w:lang w:val="pt-BR"/>
        </w:rPr>
        <w:t xml:space="preserve">(2), 229–254. </w:t>
      </w:r>
      <w:r>
        <w:fldChar w:fldCharType="begin"/>
      </w:r>
      <w:r>
        <w:instrText xml:space="preserve"> HYPERLINK "https://www.periodicos.rc.biblioteca.unesp.br/index.php/estgeo/article/view/18378" \t "_blank" </w:instrText>
      </w:r>
      <w:r>
        <w:fldChar w:fldCharType="separate"/>
      </w:r>
      <w:r>
        <w:rPr>
          <w:rStyle w:val="12"/>
          <w:rFonts w:ascii="Times New Roman" w:hAnsi="Times New Roman" w:eastAsia="Times New Roman" w:cs="Times New Roman"/>
          <w:lang w:val="pt-BR"/>
        </w:rPr>
        <w:t>https://www.periodicos.rc.biblioteca.unesp.br/index.php/estgeo/article/view/18378</w:t>
      </w:r>
      <w:r>
        <w:rPr>
          <w:rStyle w:val="12"/>
          <w:rFonts w:ascii="Times New Roman" w:hAnsi="Times New Roman" w:eastAsia="Times New Roman" w:cs="Times New Roman"/>
          <w:lang w:val="pt-BR"/>
        </w:rPr>
        <w:fldChar w:fldCharType="end"/>
      </w:r>
    </w:p>
    <w:p w14:paraId="15566D99">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lang w:val="pt-BR"/>
        </w:rPr>
        <w:t xml:space="preserve">Hirigoyen, M. F. (2006). </w:t>
      </w:r>
      <w:r>
        <w:rPr>
          <w:rFonts w:ascii="Times New Roman" w:hAnsi="Times New Roman" w:eastAsia="Times New Roman" w:cs="Times New Roman"/>
          <w:i/>
          <w:iCs/>
          <w:color w:val="221E1F"/>
          <w:lang w:val="pt-BR"/>
        </w:rPr>
        <w:t>A violência no casal: Da coação psicológica à agressão física</w:t>
      </w:r>
      <w:r>
        <w:rPr>
          <w:rFonts w:ascii="Times New Roman" w:hAnsi="Times New Roman" w:eastAsia="Times New Roman" w:cs="Times New Roman"/>
          <w:color w:val="221E1F"/>
          <w:lang w:val="pt-BR"/>
        </w:rPr>
        <w:t>. Bertrand Brasil.</w:t>
      </w:r>
    </w:p>
    <w:p w14:paraId="2FB738DC">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pPr>
      <w:r>
        <w:rPr>
          <w:rFonts w:ascii="Times New Roman" w:hAnsi="Times New Roman" w:eastAsia="Times New Roman" w:cs="Times New Roman"/>
          <w:color w:val="221E1F"/>
          <w:lang w:val="pt-BR"/>
        </w:rPr>
        <w:t xml:space="preserve">Hoffmann, S., Pauli, D. V. G., Santos, L. R. dos, &amp; Rigo, N. M. (2022). A questão de gênero no contexto escolar: Um estudo na Base Nacional Comum Curricular (BNCC). </w:t>
      </w:r>
      <w:r>
        <w:rPr>
          <w:rFonts w:ascii="Times New Roman" w:hAnsi="Times New Roman" w:eastAsia="Times New Roman" w:cs="Times New Roman"/>
          <w:i/>
          <w:iCs/>
          <w:color w:val="221E1F"/>
          <w:lang w:val="pt-BR"/>
        </w:rPr>
        <w:t>Anais dos Encontros de Debates sobre o Ensino de Química</w:t>
      </w:r>
      <w:r>
        <w:rPr>
          <w:rFonts w:ascii="Times New Roman" w:hAnsi="Times New Roman" w:eastAsia="Times New Roman" w:cs="Times New Roman"/>
          <w:color w:val="221E1F"/>
          <w:lang w:val="pt-BR"/>
        </w:rPr>
        <w:t xml:space="preserve">, (41). </w:t>
      </w:r>
      <w:r>
        <w:fldChar w:fldCharType="begin"/>
      </w:r>
      <w:r>
        <w:instrText xml:space="preserve"> HYPERLINK "https://edeq.com.br/submissao2/index.php/edeq/article/view/121" \t "_blank" </w:instrText>
      </w:r>
      <w:r>
        <w:fldChar w:fldCharType="separate"/>
      </w:r>
      <w:r>
        <w:rPr>
          <w:rStyle w:val="12"/>
          <w:rFonts w:ascii="Times New Roman" w:hAnsi="Times New Roman" w:eastAsia="Times New Roman" w:cs="Times New Roman"/>
          <w:lang w:val="pt-BR"/>
        </w:rPr>
        <w:t>https://edeq.com.br/submissao2/index.php/edeq/article/view/121</w:t>
      </w:r>
      <w:r>
        <w:rPr>
          <w:rStyle w:val="12"/>
          <w:rFonts w:ascii="Times New Roman" w:hAnsi="Times New Roman" w:eastAsia="Times New Roman" w:cs="Times New Roman"/>
          <w:lang w:val="pt-BR"/>
        </w:rPr>
        <w:fldChar w:fldCharType="end"/>
      </w:r>
    </w:p>
    <w:p w14:paraId="4F7CEDF7">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rPr>
        <w:t xml:space="preserve">hooks, b. (2017). </w:t>
      </w:r>
      <w:r>
        <w:rPr>
          <w:rFonts w:ascii="Times New Roman" w:hAnsi="Times New Roman" w:eastAsia="Times New Roman" w:cs="Times New Roman"/>
          <w:i/>
          <w:iCs/>
          <w:color w:val="221E1F"/>
        </w:rPr>
        <w:t>Ensinando a transgredir: A educação como prática da liberdade.</w:t>
      </w:r>
      <w:r>
        <w:rPr>
          <w:rFonts w:ascii="Times New Roman" w:hAnsi="Times New Roman" w:eastAsia="Times New Roman" w:cs="Times New Roman"/>
          <w:color w:val="221E1F"/>
        </w:rPr>
        <w:t xml:space="preserve"> Editora WMF Martins Fontes.</w:t>
      </w:r>
    </w:p>
    <w:p w14:paraId="230D2531">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lang w:val="pt-BR"/>
        </w:rPr>
        <w:t xml:space="preserve">Latino, A. L., Vaccaro, M. T., Volpicelli, G., &amp; Zamboni, M. (2025). Educando sobre as diferenças para prevenir a violência de gênero (EDVIGE): Um projeto para a prevenção primária da violência de gênero durante a adolescência. </w:t>
      </w:r>
      <w:r>
        <w:rPr>
          <w:rFonts w:ascii="Times New Roman" w:hAnsi="Times New Roman" w:eastAsia="Times New Roman" w:cs="Times New Roman"/>
          <w:i/>
          <w:iCs/>
          <w:color w:val="221E1F"/>
          <w:lang w:val="pt-BR"/>
        </w:rPr>
        <w:t>Global Pediatrics, 13</w:t>
      </w:r>
      <w:r>
        <w:rPr>
          <w:rFonts w:ascii="Times New Roman" w:hAnsi="Times New Roman" w:eastAsia="Times New Roman" w:cs="Times New Roman"/>
          <w:color w:val="221E1F"/>
          <w:lang w:val="pt-BR"/>
        </w:rPr>
        <w:t xml:space="preserve">, Artigo 100269. </w:t>
      </w:r>
      <w:r>
        <w:fldChar w:fldCharType="begin"/>
      </w:r>
      <w:r>
        <w:instrText xml:space="preserve"> HYPERLINK "https://doi.org/10.1016/j.gpeds.2025.100269" \t "_blank" </w:instrText>
      </w:r>
      <w:r>
        <w:fldChar w:fldCharType="separate"/>
      </w:r>
      <w:r>
        <w:rPr>
          <w:rStyle w:val="12"/>
          <w:rFonts w:ascii="Times New Roman" w:hAnsi="Times New Roman" w:eastAsia="Times New Roman" w:cs="Times New Roman"/>
          <w:lang w:val="pt-BR"/>
        </w:rPr>
        <w:t>https://doi.org/10.1016/j.gpeds.2025.100269</w:t>
      </w:r>
      <w:r>
        <w:rPr>
          <w:rStyle w:val="12"/>
          <w:rFonts w:ascii="Times New Roman" w:hAnsi="Times New Roman" w:eastAsia="Times New Roman" w:cs="Times New Roman"/>
          <w:lang w:val="pt-BR"/>
        </w:rPr>
        <w:fldChar w:fldCharType="end"/>
      </w:r>
    </w:p>
    <w:p w14:paraId="4A589766">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lang w:val="pt-BR"/>
        </w:rPr>
        <w:t xml:space="preserve">Louro, G. L. (2008). Gênero e sexualidade: Pedagogias contemporâneas. </w:t>
      </w:r>
      <w:r>
        <w:rPr>
          <w:rFonts w:ascii="Times New Roman" w:hAnsi="Times New Roman" w:eastAsia="Times New Roman" w:cs="Times New Roman"/>
          <w:i/>
          <w:iCs/>
          <w:color w:val="221E1F"/>
          <w:lang w:val="pt-BR"/>
        </w:rPr>
        <w:t>Pro-posições, 19</w:t>
      </w:r>
      <w:r>
        <w:rPr>
          <w:rFonts w:ascii="Times New Roman" w:hAnsi="Times New Roman" w:eastAsia="Times New Roman" w:cs="Times New Roman"/>
          <w:color w:val="221E1F"/>
          <w:lang w:val="pt-BR"/>
        </w:rPr>
        <w:t xml:space="preserve">, 17–23. </w:t>
      </w:r>
      <w:r>
        <w:fldChar w:fldCharType="begin"/>
      </w:r>
      <w:r>
        <w:instrText xml:space="preserve"> HYPERLINK "https://doi.org/10.1590/S0103-73072008000200003" \t "_blank" </w:instrText>
      </w:r>
      <w:r>
        <w:fldChar w:fldCharType="separate"/>
      </w:r>
      <w:r>
        <w:rPr>
          <w:rStyle w:val="12"/>
          <w:rFonts w:ascii="Times New Roman" w:hAnsi="Times New Roman" w:eastAsia="Times New Roman" w:cs="Times New Roman"/>
          <w:lang w:val="pt-BR"/>
        </w:rPr>
        <w:t>https://doi.org/10.1590/S0103-73072008000200003</w:t>
      </w:r>
      <w:r>
        <w:rPr>
          <w:rStyle w:val="12"/>
          <w:rFonts w:ascii="Times New Roman" w:hAnsi="Times New Roman" w:eastAsia="Times New Roman" w:cs="Times New Roman"/>
          <w:lang w:val="pt-BR"/>
        </w:rPr>
        <w:fldChar w:fldCharType="end"/>
      </w:r>
    </w:p>
    <w:p w14:paraId="43B512A6">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lang w:val="pt-BR"/>
        </w:rPr>
        <w:t xml:space="preserve">Marciano, I. F., &amp; Richartz, T. (2024). Promovendo a desconstrução de estereótipos de gênero nas instituições escolares. </w:t>
      </w:r>
      <w:r>
        <w:rPr>
          <w:rFonts w:ascii="Times New Roman" w:hAnsi="Times New Roman" w:eastAsia="Times New Roman" w:cs="Times New Roman"/>
          <w:i/>
          <w:iCs/>
          <w:color w:val="221E1F"/>
          <w:lang w:val="pt-BR"/>
        </w:rPr>
        <w:t>Revista Mythos, 1</w:t>
      </w:r>
      <w:r>
        <w:rPr>
          <w:rFonts w:ascii="Times New Roman" w:hAnsi="Times New Roman" w:eastAsia="Times New Roman" w:cs="Times New Roman"/>
          <w:color w:val="221E1F"/>
          <w:lang w:val="pt-BR"/>
        </w:rPr>
        <w:t xml:space="preserve">, 90–103. </w:t>
      </w:r>
      <w:r>
        <w:fldChar w:fldCharType="begin"/>
      </w:r>
      <w:r>
        <w:instrText xml:space="preserve"> HYPERLINK "https://doi.org/10.36674/mythos.v21i1.846" \t "_blank" </w:instrText>
      </w:r>
      <w:r>
        <w:fldChar w:fldCharType="separate"/>
      </w:r>
      <w:r>
        <w:rPr>
          <w:rStyle w:val="12"/>
          <w:rFonts w:ascii="Times New Roman" w:hAnsi="Times New Roman" w:eastAsia="Times New Roman" w:cs="Times New Roman"/>
          <w:lang w:val="pt-BR"/>
        </w:rPr>
        <w:t>https://doi.org/10.36674/mythos.v21i1.846</w:t>
      </w:r>
      <w:r>
        <w:rPr>
          <w:rStyle w:val="12"/>
          <w:rFonts w:ascii="Times New Roman" w:hAnsi="Times New Roman" w:eastAsia="Times New Roman" w:cs="Times New Roman"/>
          <w:lang w:val="pt-BR"/>
        </w:rPr>
        <w:fldChar w:fldCharType="end"/>
      </w:r>
    </w:p>
    <w:p w14:paraId="1499480B">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en-US"/>
        </w:rPr>
      </w:pPr>
      <w:r>
        <w:rPr>
          <w:rFonts w:ascii="Times New Roman" w:hAnsi="Times New Roman" w:eastAsia="Times New Roman" w:cs="Times New Roman"/>
          <w:color w:val="221E1F"/>
          <w:lang w:val="pt-BR"/>
        </w:rPr>
        <w:t xml:space="preserve">Ministério da Educação. (2019). </w:t>
      </w:r>
      <w:r>
        <w:rPr>
          <w:rFonts w:ascii="Times New Roman" w:hAnsi="Times New Roman" w:eastAsia="Times New Roman" w:cs="Times New Roman"/>
          <w:i/>
          <w:iCs/>
          <w:color w:val="221E1F"/>
          <w:lang w:val="pt-BR"/>
        </w:rPr>
        <w:t>Base Nacional Comum Curricular. Temas contemporâneos transversais na BNCC contextos: Históricos e pressupostos pedagógicos</w:t>
      </w:r>
      <w:r>
        <w:rPr>
          <w:rFonts w:ascii="Times New Roman" w:hAnsi="Times New Roman" w:eastAsia="Times New Roman" w:cs="Times New Roman"/>
          <w:color w:val="221E1F"/>
          <w:lang w:val="pt-BR"/>
        </w:rPr>
        <w:t xml:space="preserve">. </w:t>
      </w:r>
      <w:r>
        <w:rPr>
          <w:rFonts w:ascii="Times New Roman" w:hAnsi="Times New Roman" w:eastAsia="Times New Roman" w:cs="Times New Roman"/>
          <w:color w:val="221E1F"/>
          <w:lang w:val="en-US"/>
        </w:rPr>
        <w:t xml:space="preserve">MEC. </w:t>
      </w:r>
      <w:r>
        <w:fldChar w:fldCharType="begin"/>
      </w:r>
      <w:r>
        <w:instrText xml:space="preserve"> HYPERLINK "https://basenacionalcomum.mec.gov.br/images/implementacao/contextualizacao_temas_contemporaneos.pdf" \t "_blank" </w:instrText>
      </w:r>
      <w:r>
        <w:fldChar w:fldCharType="separate"/>
      </w:r>
      <w:r>
        <w:rPr>
          <w:rStyle w:val="12"/>
          <w:rFonts w:ascii="Times New Roman" w:hAnsi="Times New Roman" w:eastAsia="Times New Roman" w:cs="Times New Roman"/>
          <w:lang w:val="en-US"/>
        </w:rPr>
        <w:t>https://basenacionalcomum.mec.gov.br/images/implementacao/contextualizacao_temas_contemporaneos.pdf</w:t>
      </w:r>
      <w:r>
        <w:rPr>
          <w:rStyle w:val="12"/>
          <w:rFonts w:ascii="Times New Roman" w:hAnsi="Times New Roman" w:eastAsia="Times New Roman" w:cs="Times New Roman"/>
          <w:lang w:val="en-US"/>
        </w:rPr>
        <w:fldChar w:fldCharType="end"/>
      </w:r>
    </w:p>
    <w:p w14:paraId="4BA003AB">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en-US"/>
        </w:rPr>
      </w:pPr>
      <w:r>
        <w:rPr>
          <w:rFonts w:ascii="Times New Roman" w:hAnsi="Times New Roman" w:eastAsia="Times New Roman" w:cs="Times New Roman"/>
          <w:color w:val="221E1F"/>
          <w:lang w:val="en-US"/>
        </w:rPr>
        <w:t xml:space="preserve">Moriyasu, C., Cassola, A., Sprague, A., Raub, A., &amp; Heymann, J. (2025). Realizing the right to education for all: Approaches to removing barriers based on gender, disability, and socioeconomic status in 193 countries. </w:t>
      </w:r>
      <w:r>
        <w:rPr>
          <w:rFonts w:ascii="Times New Roman" w:hAnsi="Times New Roman" w:eastAsia="Times New Roman" w:cs="Times New Roman"/>
          <w:i/>
          <w:iCs/>
          <w:color w:val="221E1F"/>
          <w:lang w:val="en-US"/>
        </w:rPr>
        <w:t>International Journal of Educational Development</w:t>
      </w:r>
      <w:r>
        <w:rPr>
          <w:rFonts w:ascii="Times New Roman" w:hAnsi="Times New Roman" w:eastAsia="Times New Roman" w:cs="Times New Roman"/>
          <w:color w:val="221E1F"/>
          <w:lang w:val="en-US"/>
        </w:rPr>
        <w:t xml:space="preserve">, </w:t>
      </w:r>
      <w:r>
        <w:rPr>
          <w:rFonts w:ascii="Times New Roman" w:hAnsi="Times New Roman" w:eastAsia="Times New Roman" w:cs="Times New Roman"/>
          <w:i/>
          <w:iCs/>
          <w:color w:val="221E1F"/>
          <w:lang w:val="en-US"/>
        </w:rPr>
        <w:t>117.</w:t>
      </w:r>
      <w:r>
        <w:rPr>
          <w:rFonts w:ascii="Times New Roman" w:hAnsi="Times New Roman" w:eastAsia="Times New Roman" w:cs="Times New Roman"/>
          <w:color w:val="221E1F"/>
          <w:lang w:val="en-US"/>
        </w:rPr>
        <w:t xml:space="preserve"> 10.1016/j.ijedudev.2025.103212. </w:t>
      </w:r>
    </w:p>
    <w:p w14:paraId="7D277A71">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en-US"/>
        </w:rPr>
      </w:pPr>
    </w:p>
    <w:p w14:paraId="576D8A63">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lang w:val="en-US"/>
        </w:rPr>
        <w:t xml:space="preserve">Oliveira, M., &amp; Melo, F. M. (2024). </w:t>
      </w:r>
      <w:r>
        <w:rPr>
          <w:rFonts w:ascii="Times New Roman" w:hAnsi="Times New Roman" w:eastAsia="Times New Roman" w:cs="Times New Roman"/>
          <w:color w:val="221E1F"/>
          <w:lang w:val="pt-BR"/>
        </w:rPr>
        <w:t xml:space="preserve">Violência contra as mulheres e políticas públicas em educação: Perspectivas necessárias para o combate e a prevenção no Amazonas com base na educação em direitos humanos. </w:t>
      </w:r>
      <w:r>
        <w:rPr>
          <w:rFonts w:ascii="Times New Roman" w:hAnsi="Times New Roman" w:eastAsia="Times New Roman" w:cs="Times New Roman"/>
          <w:i/>
          <w:iCs/>
          <w:color w:val="221E1F"/>
          <w:lang w:val="pt-BR"/>
        </w:rPr>
        <w:t>Fênix-Revista de História e Estudos Culturais, 21</w:t>
      </w:r>
      <w:r>
        <w:rPr>
          <w:rFonts w:ascii="Times New Roman" w:hAnsi="Times New Roman" w:eastAsia="Times New Roman" w:cs="Times New Roman"/>
          <w:color w:val="221E1F"/>
          <w:lang w:val="pt-BR"/>
        </w:rPr>
        <w:t xml:space="preserve">(1), 115–145. </w:t>
      </w:r>
      <w:r>
        <w:fldChar w:fldCharType="begin"/>
      </w:r>
      <w:r>
        <w:instrText xml:space="preserve"> HYPERLINK "https://doi.org/10.35355/revistafenix.v21i1.1383" \t "_blank" </w:instrText>
      </w:r>
      <w:r>
        <w:fldChar w:fldCharType="separate"/>
      </w:r>
      <w:r>
        <w:rPr>
          <w:rStyle w:val="12"/>
          <w:rFonts w:ascii="Times New Roman" w:hAnsi="Times New Roman" w:eastAsia="Times New Roman" w:cs="Times New Roman"/>
          <w:lang w:val="pt-BR"/>
        </w:rPr>
        <w:t>https://doi.org/10.35355/revistafenix.v21i1.1383</w:t>
      </w:r>
      <w:r>
        <w:rPr>
          <w:rStyle w:val="12"/>
          <w:rFonts w:ascii="Times New Roman" w:hAnsi="Times New Roman" w:eastAsia="Times New Roman" w:cs="Times New Roman"/>
          <w:lang w:val="pt-BR"/>
        </w:rPr>
        <w:fldChar w:fldCharType="end"/>
      </w:r>
    </w:p>
    <w:p w14:paraId="3B6F27FC">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rPr>
        <w:t xml:space="preserve">Page, M. J., McKenzie, J. E., Bossuyt, P. M., Boutron, I., Hoffmann, T. C., Mulrow, C. D., Shamseer, L., Tetzlaff, J. M., Akl, E. A., Brennan, S. E., Chou, R., Glanville, J., Grimshaw, J. M., Hróbjartsson, A., Lalu, M. M., Li, T., Loder, E. W., Mayo-Wilson, E., McDonald, S., ... </w:t>
      </w:r>
      <w:r>
        <w:rPr>
          <w:rFonts w:ascii="Times New Roman" w:hAnsi="Times New Roman" w:eastAsia="Times New Roman" w:cs="Times New Roman"/>
          <w:color w:val="221E1F"/>
          <w:lang w:val="en-US"/>
        </w:rPr>
        <w:t xml:space="preserve">Moher, D. (2021). The PRISMA 2020 statement: An updated guideline for reporting systematic reviews. </w:t>
      </w:r>
      <w:r>
        <w:rPr>
          <w:rFonts w:ascii="Times New Roman" w:hAnsi="Times New Roman" w:eastAsia="Times New Roman" w:cs="Times New Roman"/>
          <w:i/>
          <w:iCs/>
          <w:color w:val="221E1F"/>
        </w:rPr>
        <w:t>BMJ, 372</w:t>
      </w:r>
      <w:r>
        <w:rPr>
          <w:rFonts w:ascii="Times New Roman" w:hAnsi="Times New Roman" w:eastAsia="Times New Roman" w:cs="Times New Roman"/>
          <w:color w:val="221E1F"/>
        </w:rPr>
        <w:t xml:space="preserve">, Artigo n71. </w:t>
      </w:r>
      <w:r>
        <w:rPr>
          <w:rFonts w:ascii="Times New Roman" w:hAnsi="Times New Roman" w:eastAsia="Times New Roman" w:cs="Times New Roman"/>
          <w:color w:val="221E1F"/>
        </w:rPr>
        <w:fldChar w:fldCharType="begin"/>
      </w:r>
      <w:r>
        <w:rPr>
          <w:rFonts w:ascii="Times New Roman" w:hAnsi="Times New Roman" w:eastAsia="Times New Roman" w:cs="Times New Roman"/>
          <w:color w:val="221E1F"/>
        </w:rPr>
        <w:instrText xml:space="preserve">HYPERLINK "https://doi.org/10.1136/bmj.n71" \t "_blank"</w:instrText>
      </w:r>
      <w:r>
        <w:rPr>
          <w:rFonts w:ascii="Times New Roman" w:hAnsi="Times New Roman" w:eastAsia="Times New Roman" w:cs="Times New Roman"/>
          <w:color w:val="221E1F"/>
        </w:rPr>
        <w:fldChar w:fldCharType="separate"/>
      </w:r>
      <w:r>
        <w:rPr>
          <w:rStyle w:val="12"/>
          <w:rFonts w:ascii="Times New Roman" w:hAnsi="Times New Roman" w:eastAsia="Times New Roman" w:cs="Times New Roman"/>
        </w:rPr>
        <w:t>https://doi.org/10.1136/bmj.n71</w:t>
      </w:r>
      <w:r>
        <w:rPr>
          <w:rFonts w:ascii="Times New Roman" w:hAnsi="Times New Roman" w:eastAsia="Times New Roman" w:cs="Times New Roman"/>
          <w:color w:val="221E1F"/>
          <w:lang w:val="pt-BR"/>
        </w:rPr>
        <w:fldChar w:fldCharType="end"/>
      </w:r>
    </w:p>
    <w:p w14:paraId="2062E13E">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lang w:val="pt-BR"/>
        </w:rPr>
        <w:t xml:space="preserve">Peres, R. G., &amp; Silva, A. C. A. (2022). O enfrentamento da violência de gênero a partir da educação básica. </w:t>
      </w:r>
      <w:r>
        <w:rPr>
          <w:rFonts w:ascii="Times New Roman" w:hAnsi="Times New Roman" w:eastAsia="Times New Roman" w:cs="Times New Roman"/>
          <w:i/>
          <w:iCs/>
          <w:color w:val="221E1F"/>
          <w:lang w:val="pt-BR"/>
        </w:rPr>
        <w:t>Revista Cadernos do Ceom, 35</w:t>
      </w:r>
      <w:r>
        <w:rPr>
          <w:rFonts w:ascii="Times New Roman" w:hAnsi="Times New Roman" w:eastAsia="Times New Roman" w:cs="Times New Roman"/>
          <w:color w:val="221E1F"/>
          <w:lang w:val="pt-BR"/>
        </w:rPr>
        <w:t xml:space="preserve">(56), 73–86. </w:t>
      </w:r>
      <w:r>
        <w:fldChar w:fldCharType="begin"/>
      </w:r>
      <w:r>
        <w:instrText xml:space="preserve"> HYPERLINK "https://doi.org/10.22562/2022.56.06" \t "_blank" </w:instrText>
      </w:r>
      <w:r>
        <w:fldChar w:fldCharType="separate"/>
      </w:r>
      <w:r>
        <w:rPr>
          <w:rStyle w:val="12"/>
          <w:rFonts w:ascii="Times New Roman" w:hAnsi="Times New Roman" w:eastAsia="Times New Roman" w:cs="Times New Roman"/>
          <w:lang w:val="pt-BR"/>
        </w:rPr>
        <w:t>https://doi.org/10.22562/2022.56.06</w:t>
      </w:r>
      <w:r>
        <w:rPr>
          <w:rStyle w:val="12"/>
          <w:rFonts w:ascii="Times New Roman" w:hAnsi="Times New Roman" w:eastAsia="Times New Roman" w:cs="Times New Roman"/>
          <w:lang w:val="pt-BR"/>
        </w:rPr>
        <w:fldChar w:fldCharType="end"/>
      </w:r>
    </w:p>
    <w:p w14:paraId="0C67C2DF">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lang w:val="pt-BR"/>
        </w:rPr>
        <w:t xml:space="preserve">Pinafi, T. (2007). </w:t>
      </w:r>
      <w:r>
        <w:rPr>
          <w:rFonts w:ascii="Times New Roman" w:hAnsi="Times New Roman" w:eastAsia="Times New Roman" w:cs="Times New Roman"/>
          <w:i/>
          <w:iCs/>
          <w:color w:val="221E1F"/>
          <w:lang w:val="pt-BR"/>
        </w:rPr>
        <w:t>Violência contra mulher: Políticas públicas e medidas protetivas na contemporaneidade</w:t>
      </w:r>
      <w:r>
        <w:rPr>
          <w:rFonts w:ascii="Times New Roman" w:hAnsi="Times New Roman" w:eastAsia="Times New Roman" w:cs="Times New Roman"/>
          <w:color w:val="221E1F"/>
          <w:lang w:val="pt-BR"/>
        </w:rPr>
        <w:t>. Governo do Estado de São Paulo.</w:t>
      </w:r>
    </w:p>
    <w:p w14:paraId="03AB9319">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lang w:val="pt-BR"/>
        </w:rPr>
        <w:t xml:space="preserve">Rodrigues, L. da S., Pinto, L. R., &amp; Paixão, M. V. (2022). Violência contra mulheres: A construção de um campo teórico para sua desconstrução na escola. </w:t>
      </w:r>
      <w:r>
        <w:rPr>
          <w:rFonts w:ascii="Times New Roman" w:hAnsi="Times New Roman" w:eastAsia="Times New Roman" w:cs="Times New Roman"/>
          <w:i/>
          <w:iCs/>
          <w:color w:val="221E1F"/>
          <w:lang w:val="pt-BR"/>
        </w:rPr>
        <w:t>Revista Intersaberes, 17</w:t>
      </w:r>
      <w:r>
        <w:rPr>
          <w:rFonts w:ascii="Times New Roman" w:hAnsi="Times New Roman" w:eastAsia="Times New Roman" w:cs="Times New Roman"/>
          <w:color w:val="221E1F"/>
          <w:lang w:val="pt-BR"/>
        </w:rPr>
        <w:t xml:space="preserve">(41), 544–555. </w:t>
      </w:r>
      <w:r>
        <w:fldChar w:fldCharType="begin"/>
      </w:r>
      <w:r>
        <w:instrText xml:space="preserve"> HYPERLINK "https://doi.org/10.22169/revint.v17i41.2340" \t "_blank" </w:instrText>
      </w:r>
      <w:r>
        <w:fldChar w:fldCharType="separate"/>
      </w:r>
      <w:r>
        <w:rPr>
          <w:rStyle w:val="12"/>
          <w:rFonts w:ascii="Times New Roman" w:hAnsi="Times New Roman" w:eastAsia="Times New Roman" w:cs="Times New Roman"/>
          <w:lang w:val="pt-BR"/>
        </w:rPr>
        <w:t>https://doi.org/10.22169/revint.v17i41.2340</w:t>
      </w:r>
      <w:r>
        <w:rPr>
          <w:rStyle w:val="12"/>
          <w:rFonts w:ascii="Times New Roman" w:hAnsi="Times New Roman" w:eastAsia="Times New Roman" w:cs="Times New Roman"/>
          <w:lang w:val="pt-BR"/>
        </w:rPr>
        <w:fldChar w:fldCharType="end"/>
      </w:r>
    </w:p>
    <w:p w14:paraId="6836CE64">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lang w:val="pt-BR"/>
        </w:rPr>
        <w:t xml:space="preserve">Saffioti, H. I. B. (2004). </w:t>
      </w:r>
      <w:r>
        <w:rPr>
          <w:rFonts w:ascii="Times New Roman" w:hAnsi="Times New Roman" w:eastAsia="Times New Roman" w:cs="Times New Roman"/>
          <w:i/>
          <w:iCs/>
          <w:color w:val="221E1F"/>
          <w:lang w:val="pt-BR"/>
        </w:rPr>
        <w:t>Gênero, patriarcado, violência</w:t>
      </w:r>
      <w:r>
        <w:rPr>
          <w:rFonts w:ascii="Times New Roman" w:hAnsi="Times New Roman" w:eastAsia="Times New Roman" w:cs="Times New Roman"/>
          <w:color w:val="221E1F"/>
          <w:lang w:val="pt-BR"/>
        </w:rPr>
        <w:t>. Fundação Perseu Abramo.</w:t>
      </w:r>
    </w:p>
    <w:p w14:paraId="1998C7E5">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lang w:val="pt-BR"/>
        </w:rPr>
        <w:t xml:space="preserve">Saffioti, H. I. B., &amp; Almeida, S. S. (Orgs.). (1995). </w:t>
      </w:r>
      <w:r>
        <w:rPr>
          <w:rFonts w:ascii="Times New Roman" w:hAnsi="Times New Roman" w:eastAsia="Times New Roman" w:cs="Times New Roman"/>
          <w:i/>
          <w:iCs/>
          <w:color w:val="221E1F"/>
          <w:lang w:val="pt-BR"/>
        </w:rPr>
        <w:t>Violência de gênero: Poder e impotência</w:t>
      </w:r>
      <w:r>
        <w:rPr>
          <w:rFonts w:ascii="Times New Roman" w:hAnsi="Times New Roman" w:eastAsia="Times New Roman" w:cs="Times New Roman"/>
          <w:color w:val="221E1F"/>
          <w:lang w:val="pt-BR"/>
        </w:rPr>
        <w:t>. Revinter.</w:t>
      </w:r>
    </w:p>
    <w:p w14:paraId="15394F72">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lang w:val="pt-BR"/>
        </w:rPr>
        <w:t xml:space="preserve">Saffioti, H. I. B., &amp; Almeida, S. S. (2001). Contribuições feministas para o estudo da violência de gênero. </w:t>
      </w:r>
      <w:r>
        <w:rPr>
          <w:rFonts w:ascii="Times New Roman" w:hAnsi="Times New Roman" w:eastAsia="Times New Roman" w:cs="Times New Roman"/>
          <w:i/>
          <w:iCs/>
          <w:color w:val="221E1F"/>
          <w:lang w:val="pt-BR"/>
        </w:rPr>
        <w:t>Cadernos Pagu</w:t>
      </w:r>
      <w:r>
        <w:rPr>
          <w:rFonts w:ascii="Times New Roman" w:hAnsi="Times New Roman" w:eastAsia="Times New Roman" w:cs="Times New Roman"/>
          <w:color w:val="221E1F"/>
          <w:lang w:val="pt-BR"/>
        </w:rPr>
        <w:t>, (16), 115–136.</w:t>
      </w:r>
    </w:p>
    <w:p w14:paraId="52A9852E">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lang w:val="pt-BR"/>
        </w:rPr>
        <w:t xml:space="preserve">Santos, F. K. L., &amp; Nascimento, E. F. (2021). Educação transgressora no espaço escolar: Considerações sobre corpo em uma perspectiva interseccional. </w:t>
      </w:r>
      <w:r>
        <w:rPr>
          <w:rFonts w:ascii="Times New Roman" w:hAnsi="Times New Roman" w:eastAsia="Times New Roman" w:cs="Times New Roman"/>
          <w:i/>
          <w:iCs/>
          <w:color w:val="221E1F"/>
          <w:lang w:val="pt-BR"/>
        </w:rPr>
        <w:t>Revista Latino-Americana de Geografia e Gênero, 12</w:t>
      </w:r>
      <w:r>
        <w:rPr>
          <w:rFonts w:ascii="Times New Roman" w:hAnsi="Times New Roman" w:eastAsia="Times New Roman" w:cs="Times New Roman"/>
          <w:color w:val="221E1F"/>
          <w:lang w:val="pt-BR"/>
        </w:rPr>
        <w:t xml:space="preserve">(2), 6–18. </w:t>
      </w:r>
      <w:r>
        <w:fldChar w:fldCharType="begin"/>
      </w:r>
      <w:r>
        <w:instrText xml:space="preserve"> HYPERLINK "https://doi.org/10.5212/Rlagg.v.12.i2.0001" \t "_blank" </w:instrText>
      </w:r>
      <w:r>
        <w:fldChar w:fldCharType="separate"/>
      </w:r>
      <w:r>
        <w:rPr>
          <w:rStyle w:val="12"/>
          <w:rFonts w:ascii="Times New Roman" w:hAnsi="Times New Roman" w:eastAsia="Times New Roman" w:cs="Times New Roman"/>
          <w:lang w:val="pt-BR"/>
        </w:rPr>
        <w:t>https://doi.org/10.5212/Rlagg.v.12.i2.0001</w:t>
      </w:r>
      <w:r>
        <w:rPr>
          <w:rStyle w:val="12"/>
          <w:rFonts w:ascii="Times New Roman" w:hAnsi="Times New Roman" w:eastAsia="Times New Roman" w:cs="Times New Roman"/>
          <w:lang w:val="pt-BR"/>
        </w:rPr>
        <w:fldChar w:fldCharType="end"/>
      </w:r>
    </w:p>
    <w:p w14:paraId="4C671B77">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lang w:val="pt-BR"/>
        </w:rPr>
        <w:t xml:space="preserve">Scott, J. (1995). Gênero: Uma categoria útil de análise histórica. </w:t>
      </w:r>
      <w:r>
        <w:rPr>
          <w:rFonts w:ascii="Times New Roman" w:hAnsi="Times New Roman" w:eastAsia="Times New Roman" w:cs="Times New Roman"/>
          <w:i/>
          <w:iCs/>
          <w:color w:val="221E1F"/>
          <w:lang w:val="pt-BR"/>
        </w:rPr>
        <w:t>Educação &amp; Realidade, 20</w:t>
      </w:r>
      <w:r>
        <w:rPr>
          <w:rFonts w:ascii="Times New Roman" w:hAnsi="Times New Roman" w:eastAsia="Times New Roman" w:cs="Times New Roman"/>
          <w:color w:val="221E1F"/>
          <w:lang w:val="pt-BR"/>
        </w:rPr>
        <w:t xml:space="preserve">(2), 71–99. </w:t>
      </w:r>
      <w:r>
        <w:fldChar w:fldCharType="begin"/>
      </w:r>
      <w:r>
        <w:instrText xml:space="preserve"> HYPERLINK "https://lume.ufrgs.br/bitstream/handle/10183/257862/000037108.pdf" \t "_blank" </w:instrText>
      </w:r>
      <w:r>
        <w:fldChar w:fldCharType="separate"/>
      </w:r>
      <w:r>
        <w:rPr>
          <w:rStyle w:val="12"/>
          <w:rFonts w:ascii="Times New Roman" w:hAnsi="Times New Roman" w:eastAsia="Times New Roman" w:cs="Times New Roman"/>
          <w:lang w:val="pt-BR"/>
        </w:rPr>
        <w:t>https://lume.ufrgs.br/bitstream/handle/10183/257862/000037108.pdf</w:t>
      </w:r>
      <w:r>
        <w:rPr>
          <w:rStyle w:val="12"/>
          <w:rFonts w:ascii="Times New Roman" w:hAnsi="Times New Roman" w:eastAsia="Times New Roman" w:cs="Times New Roman"/>
          <w:lang w:val="pt-BR"/>
        </w:rPr>
        <w:fldChar w:fldCharType="end"/>
      </w:r>
    </w:p>
    <w:p w14:paraId="2A957155">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lang w:val="pt-BR"/>
        </w:rPr>
      </w:pPr>
      <w:r>
        <w:rPr>
          <w:rFonts w:ascii="Times New Roman" w:hAnsi="Times New Roman" w:eastAsia="Times New Roman" w:cs="Times New Roman"/>
          <w:color w:val="221E1F"/>
          <w:lang w:val="pt-BR"/>
        </w:rPr>
        <w:t xml:space="preserve">Silva, A. S., Canarim, G. O., &amp; Rosa, G. da S. R. da. (2026). Educação e decomposições imagéticas da condição humana: Por uma formação ético-política em tempos reacionários. </w:t>
      </w:r>
      <w:r>
        <w:rPr>
          <w:rFonts w:ascii="Times New Roman" w:hAnsi="Times New Roman" w:eastAsia="Times New Roman" w:cs="Times New Roman"/>
          <w:i/>
          <w:iCs/>
          <w:color w:val="221E1F"/>
          <w:lang w:val="pt-BR"/>
        </w:rPr>
        <w:t>Educação &amp; Sociedade, 47</w:t>
      </w:r>
      <w:r>
        <w:rPr>
          <w:rFonts w:ascii="Times New Roman" w:hAnsi="Times New Roman" w:eastAsia="Times New Roman" w:cs="Times New Roman"/>
          <w:color w:val="221E1F"/>
          <w:lang w:val="pt-BR"/>
        </w:rPr>
        <w:t>, 1–20.</w:t>
      </w:r>
    </w:p>
    <w:p w14:paraId="1BDCCCAF">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pPr>
      <w:r>
        <w:rPr>
          <w:rFonts w:ascii="Times New Roman" w:hAnsi="Times New Roman" w:eastAsia="Times New Roman" w:cs="Times New Roman"/>
          <w:color w:val="221E1F"/>
          <w:lang w:val="pt-BR"/>
        </w:rPr>
        <w:t xml:space="preserve">Vilela, R. A. T. (2007). Críticas e possibilidades da educação e da escola na contemporaneidade: Lições de Theodor Adorno para o currículo. </w:t>
      </w:r>
      <w:r>
        <w:rPr>
          <w:rFonts w:ascii="Times New Roman" w:hAnsi="Times New Roman" w:eastAsia="Times New Roman" w:cs="Times New Roman"/>
          <w:i/>
          <w:iCs/>
          <w:color w:val="221E1F"/>
          <w:lang w:val="pt-BR"/>
        </w:rPr>
        <w:t>Educação em Revista</w:t>
      </w:r>
      <w:r>
        <w:rPr>
          <w:rFonts w:ascii="Times New Roman" w:hAnsi="Times New Roman" w:eastAsia="Times New Roman" w:cs="Times New Roman"/>
          <w:color w:val="221E1F"/>
          <w:lang w:val="pt-BR"/>
        </w:rPr>
        <w:t xml:space="preserve">, (45), 223–248. </w:t>
      </w:r>
      <w:r>
        <w:fldChar w:fldCharType="begin"/>
      </w:r>
      <w:r>
        <w:instrText xml:space="preserve"> HYPERLINK "https://doi.org/10.1590/S0102-46982007000100012" \t "_blank" </w:instrText>
      </w:r>
      <w:r>
        <w:fldChar w:fldCharType="separate"/>
      </w:r>
      <w:r>
        <w:rPr>
          <w:rStyle w:val="12"/>
          <w:rFonts w:ascii="Times New Roman" w:hAnsi="Times New Roman" w:eastAsia="Times New Roman" w:cs="Times New Roman"/>
          <w:lang w:val="pt-BR"/>
        </w:rPr>
        <w:t>https://doi.org/10.1590/S0102-46982007000100012</w:t>
      </w:r>
      <w:r>
        <w:rPr>
          <w:rStyle w:val="12"/>
          <w:rFonts w:ascii="Times New Roman" w:hAnsi="Times New Roman" w:eastAsia="Times New Roman" w:cs="Times New Roman"/>
          <w:lang w:val="pt-BR"/>
        </w:rPr>
        <w:fldChar w:fldCharType="end"/>
      </w:r>
    </w:p>
    <w:p w14:paraId="57A15BAD">
      <w:pPr>
        <w:pBdr>
          <w:top w:val="none" w:color="auto" w:sz="0" w:space="0"/>
          <w:left w:val="none" w:color="auto" w:sz="0" w:space="0"/>
          <w:bottom w:val="none" w:color="auto" w:sz="0" w:space="0"/>
          <w:right w:val="none" w:color="auto" w:sz="0" w:space="0"/>
          <w:between w:val="none" w:color="auto" w:sz="0" w:space="0"/>
        </w:pBdr>
        <w:spacing w:before="240" w:after="0" w:line="240" w:lineRule="auto"/>
        <w:ind w:left="720" w:hanging="720"/>
        <w:jc w:val="both"/>
        <w:rPr>
          <w:rFonts w:ascii="Times New Roman" w:hAnsi="Times New Roman" w:eastAsia="Times New Roman" w:cs="Times New Roman"/>
          <w:color w:val="221E1F"/>
        </w:rPr>
      </w:pPr>
      <w:r>
        <w:rPr>
          <w:rFonts w:ascii="Times New Roman" w:hAnsi="Times New Roman" w:eastAsia="Times New Roman" w:cs="Times New Roman"/>
          <w:color w:val="221E1F"/>
        </w:rPr>
        <w:t xml:space="preserve">Sabino, L., &amp; Uchôa, L. (2023). </w:t>
      </w:r>
      <w:r>
        <w:rPr>
          <w:rFonts w:ascii="Times New Roman" w:hAnsi="Times New Roman" w:eastAsia="Times New Roman" w:cs="Times New Roman"/>
          <w:i/>
          <w:iCs/>
          <w:color w:val="221E1F"/>
        </w:rPr>
        <w:t>Engajando mulheres na construção de cidades caminháveis que enfrentam a crise climática: Resultados e recomendações 2022-2023</w:t>
      </w:r>
      <w:r>
        <w:rPr>
          <w:rFonts w:ascii="Times New Roman" w:hAnsi="Times New Roman" w:eastAsia="Times New Roman" w:cs="Times New Roman"/>
          <w:color w:val="221E1F"/>
        </w:rPr>
        <w:t>. Caminhando Juntas Rio Pinheiros. São Paulo.</w:t>
      </w:r>
      <w:bookmarkStart w:id="0" w:name="_GoBack"/>
      <w:bookmarkEnd w:id="0"/>
    </w:p>
    <w:p w14:paraId="4DCBE4CB">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221E1F"/>
        </w:rPr>
      </w:pPr>
    </w:p>
    <w:p w14:paraId="1F18DA71">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p>
    <w:p w14:paraId="1865C788">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Caroline Winke Ávila</w:t>
      </w:r>
    </w:p>
    <w:p w14:paraId="5448D0B0">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Universidade Federal de Santa Catarina</w:t>
      </w:r>
    </w:p>
    <w:p w14:paraId="43142C0E">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 xml:space="preserve">ORCID: </w:t>
      </w:r>
      <w:r>
        <w:fldChar w:fldCharType="begin"/>
      </w:r>
      <w:r>
        <w:instrText xml:space="preserve"> HYPERLINK "https://orcid.org/0009-0002-9556-816X" </w:instrText>
      </w:r>
      <w:r>
        <w:fldChar w:fldCharType="separate"/>
      </w:r>
      <w:r>
        <w:rPr>
          <w:rStyle w:val="12"/>
          <w:rFonts w:ascii="Times New Roman" w:hAnsi="Times New Roman" w:eastAsia="Times New Roman" w:cs="Times New Roman"/>
        </w:rPr>
        <w:t>https://orcid.org/0009-0002-9556-816X</w:t>
      </w:r>
      <w:r>
        <w:rPr>
          <w:rStyle w:val="12"/>
          <w:rFonts w:ascii="Times New Roman" w:hAnsi="Times New Roman" w:eastAsia="Times New Roman" w:cs="Times New Roman"/>
        </w:rPr>
        <w:fldChar w:fldCharType="end"/>
      </w:r>
      <w:r>
        <w:rPr>
          <w:rFonts w:ascii="Times New Roman" w:hAnsi="Times New Roman" w:eastAsia="Times New Roman" w:cs="Times New Roman"/>
          <w:color w:val="221E1F"/>
        </w:rPr>
        <w:t xml:space="preserve"> </w:t>
      </w:r>
    </w:p>
    <w:p w14:paraId="389E2E27">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 xml:space="preserve">Email: </w:t>
      </w:r>
      <w:r>
        <w:fldChar w:fldCharType="begin"/>
      </w:r>
      <w:r>
        <w:instrText xml:space="preserve"> HYPERLINK "mailto:carollwinke@gmail.com" </w:instrText>
      </w:r>
      <w:r>
        <w:fldChar w:fldCharType="separate"/>
      </w:r>
      <w:r>
        <w:rPr>
          <w:rStyle w:val="12"/>
          <w:rFonts w:ascii="Times New Roman" w:hAnsi="Times New Roman" w:eastAsia="Times New Roman" w:cs="Times New Roman"/>
        </w:rPr>
        <w:t>carollwinke@gmail.com</w:t>
      </w:r>
      <w:r>
        <w:rPr>
          <w:rStyle w:val="12"/>
          <w:rFonts w:ascii="Times New Roman" w:hAnsi="Times New Roman" w:eastAsia="Times New Roman" w:cs="Times New Roman"/>
        </w:rPr>
        <w:fldChar w:fldCharType="end"/>
      </w:r>
      <w:r>
        <w:rPr>
          <w:rFonts w:ascii="Times New Roman" w:hAnsi="Times New Roman" w:eastAsia="Times New Roman" w:cs="Times New Roman"/>
          <w:color w:val="221E1F"/>
        </w:rPr>
        <w:t xml:space="preserve"> </w:t>
      </w:r>
    </w:p>
    <w:p w14:paraId="2EB4E80A">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 xml:space="preserve"> </w:t>
      </w:r>
    </w:p>
    <w:p w14:paraId="5FEF5DE4">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Guilherme Orestes Canarim</w:t>
      </w:r>
    </w:p>
    <w:p w14:paraId="57454B58">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Universidade do Estado de Santa Catarina</w:t>
      </w:r>
    </w:p>
    <w:p w14:paraId="3099F45A">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ORCID:</w:t>
      </w:r>
      <w:r>
        <w:t xml:space="preserve"> </w:t>
      </w:r>
      <w:r>
        <w:fldChar w:fldCharType="begin"/>
      </w:r>
      <w:r>
        <w:instrText xml:space="preserve"> HYPERLINK "https://orcid.org/0000-0002-9021-9799" </w:instrText>
      </w:r>
      <w:r>
        <w:fldChar w:fldCharType="separate"/>
      </w:r>
      <w:r>
        <w:rPr>
          <w:rStyle w:val="12"/>
          <w:rFonts w:ascii="Times New Roman" w:hAnsi="Times New Roman" w:eastAsia="Times New Roman" w:cs="Times New Roman"/>
        </w:rPr>
        <w:t>https://orcid.org/0000-0002-9021-9799</w:t>
      </w:r>
      <w:r>
        <w:rPr>
          <w:rStyle w:val="12"/>
          <w:rFonts w:ascii="Times New Roman" w:hAnsi="Times New Roman" w:eastAsia="Times New Roman" w:cs="Times New Roman"/>
        </w:rPr>
        <w:fldChar w:fldCharType="end"/>
      </w:r>
      <w:r>
        <w:rPr>
          <w:rFonts w:ascii="Times New Roman" w:hAnsi="Times New Roman" w:eastAsia="Times New Roman" w:cs="Times New Roman"/>
          <w:color w:val="221E1F"/>
        </w:rPr>
        <w:t xml:space="preserve"> </w:t>
      </w:r>
    </w:p>
    <w:p w14:paraId="4F35B268">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Email:</w:t>
      </w:r>
      <w:r>
        <w:t xml:space="preserve"> </w:t>
      </w:r>
      <w:r>
        <w:fldChar w:fldCharType="begin"/>
      </w:r>
      <w:r>
        <w:instrText xml:space="preserve"> HYPERLINK "mailto:gocanarim@gmail.com" </w:instrText>
      </w:r>
      <w:r>
        <w:fldChar w:fldCharType="separate"/>
      </w:r>
      <w:r>
        <w:rPr>
          <w:rStyle w:val="12"/>
          <w:rFonts w:ascii="Times New Roman" w:hAnsi="Times New Roman" w:eastAsia="Times New Roman" w:cs="Times New Roman"/>
        </w:rPr>
        <w:t>gocanarim@gmail.com</w:t>
      </w:r>
      <w:r>
        <w:rPr>
          <w:rStyle w:val="12"/>
          <w:rFonts w:ascii="Times New Roman" w:hAnsi="Times New Roman" w:eastAsia="Times New Roman" w:cs="Times New Roman"/>
        </w:rPr>
        <w:fldChar w:fldCharType="end"/>
      </w:r>
      <w:r>
        <w:rPr>
          <w:rFonts w:ascii="Times New Roman" w:hAnsi="Times New Roman" w:eastAsia="Times New Roman" w:cs="Times New Roman"/>
          <w:color w:val="221E1F"/>
        </w:rPr>
        <w:t xml:space="preserve"> </w:t>
      </w:r>
    </w:p>
    <w:p w14:paraId="35CF613E">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p>
    <w:p w14:paraId="66CA43FE">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 xml:space="preserve"> Andreza de Oliveira</w:t>
      </w:r>
    </w:p>
    <w:p w14:paraId="38BFB0B6">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Colégio Estadual Dom João Braga</w:t>
      </w:r>
    </w:p>
    <w:p w14:paraId="7DFF7B24">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 xml:space="preserve">ORCID: </w:t>
      </w:r>
      <w:r>
        <w:fldChar w:fldCharType="begin"/>
      </w:r>
      <w:r>
        <w:instrText xml:space="preserve"> HYPERLINK "https://orcid.org/0000-0003-2083-1760" </w:instrText>
      </w:r>
      <w:r>
        <w:fldChar w:fldCharType="separate"/>
      </w:r>
      <w:r>
        <w:rPr>
          <w:rStyle w:val="12"/>
          <w:rFonts w:ascii="Times New Roman" w:hAnsi="Times New Roman" w:eastAsia="Times New Roman" w:cs="Times New Roman"/>
        </w:rPr>
        <w:t>https://orcid.org/0000-0003-2083-1760</w:t>
      </w:r>
      <w:r>
        <w:rPr>
          <w:rStyle w:val="12"/>
          <w:rFonts w:ascii="Times New Roman" w:hAnsi="Times New Roman" w:eastAsia="Times New Roman" w:cs="Times New Roman"/>
        </w:rPr>
        <w:fldChar w:fldCharType="end"/>
      </w:r>
      <w:r>
        <w:rPr>
          <w:rFonts w:ascii="Times New Roman" w:hAnsi="Times New Roman" w:eastAsia="Times New Roman" w:cs="Times New Roman"/>
          <w:color w:val="221E1F"/>
        </w:rPr>
        <w:t xml:space="preserve"> </w:t>
      </w:r>
    </w:p>
    <w:p w14:paraId="14F89484">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Email:</w:t>
      </w:r>
      <w:r>
        <w:t xml:space="preserve"> </w:t>
      </w:r>
      <w:r>
        <w:fldChar w:fldCharType="begin"/>
      </w:r>
      <w:r>
        <w:instrText xml:space="preserve"> HYPERLINK "mailto:artesanato.emaye@gmail.com" </w:instrText>
      </w:r>
      <w:r>
        <w:fldChar w:fldCharType="separate"/>
      </w:r>
      <w:r>
        <w:rPr>
          <w:rStyle w:val="12"/>
          <w:rFonts w:ascii="Times New Roman" w:hAnsi="Times New Roman" w:eastAsia="Times New Roman" w:cs="Times New Roman"/>
        </w:rPr>
        <w:t>artesanato.emaye@gmail.com</w:t>
      </w:r>
      <w:r>
        <w:rPr>
          <w:rStyle w:val="12"/>
          <w:rFonts w:ascii="Times New Roman" w:hAnsi="Times New Roman" w:eastAsia="Times New Roman" w:cs="Times New Roman"/>
        </w:rPr>
        <w:fldChar w:fldCharType="end"/>
      </w:r>
      <w:r>
        <w:rPr>
          <w:rFonts w:ascii="Times New Roman" w:hAnsi="Times New Roman" w:eastAsia="Times New Roman" w:cs="Times New Roman"/>
          <w:color w:val="221E1F"/>
        </w:rPr>
        <w:t xml:space="preserve"> </w:t>
      </w:r>
    </w:p>
    <w:p w14:paraId="31C00F39">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p>
    <w:p w14:paraId="2FEFB865">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 xml:space="preserve"> Carolina Bitencourt Ferreira</w:t>
      </w:r>
    </w:p>
    <w:p w14:paraId="2532C260">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Universidade do Extremo Sul Catarinense</w:t>
      </w:r>
    </w:p>
    <w:p w14:paraId="32DC115F">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 xml:space="preserve">ORCID: </w:t>
      </w:r>
      <w:r>
        <w:fldChar w:fldCharType="begin"/>
      </w:r>
      <w:r>
        <w:instrText xml:space="preserve"> HYPERLINK "https://orcid.org/0009-0005-5643-6561" </w:instrText>
      </w:r>
      <w:r>
        <w:fldChar w:fldCharType="separate"/>
      </w:r>
      <w:r>
        <w:rPr>
          <w:rStyle w:val="12"/>
          <w:rFonts w:ascii="Times New Roman" w:hAnsi="Times New Roman" w:eastAsia="Times New Roman" w:cs="Times New Roman"/>
        </w:rPr>
        <w:t>https://orcid.org/0009-0005-5643-6561</w:t>
      </w:r>
      <w:r>
        <w:rPr>
          <w:rStyle w:val="12"/>
          <w:rFonts w:ascii="Times New Roman" w:hAnsi="Times New Roman" w:eastAsia="Times New Roman" w:cs="Times New Roman"/>
        </w:rPr>
        <w:fldChar w:fldCharType="end"/>
      </w:r>
    </w:p>
    <w:p w14:paraId="007F098E">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Email:</w:t>
      </w:r>
      <w:r>
        <w:t xml:space="preserve"> </w:t>
      </w:r>
      <w:r>
        <w:fldChar w:fldCharType="begin"/>
      </w:r>
      <w:r>
        <w:instrText xml:space="preserve"> HYPERLINK "mailto:L.06120610@gmail.com" </w:instrText>
      </w:r>
      <w:r>
        <w:fldChar w:fldCharType="separate"/>
      </w:r>
      <w:r>
        <w:rPr>
          <w:rStyle w:val="12"/>
          <w:rFonts w:ascii="Times New Roman" w:hAnsi="Times New Roman" w:eastAsia="Times New Roman" w:cs="Times New Roman"/>
        </w:rPr>
        <w:t>L.06120610@gmail.com</w:t>
      </w:r>
      <w:r>
        <w:rPr>
          <w:rStyle w:val="12"/>
          <w:rFonts w:ascii="Times New Roman" w:hAnsi="Times New Roman" w:eastAsia="Times New Roman" w:cs="Times New Roman"/>
        </w:rPr>
        <w:fldChar w:fldCharType="end"/>
      </w:r>
      <w:r>
        <w:rPr>
          <w:rFonts w:ascii="Times New Roman" w:hAnsi="Times New Roman" w:eastAsia="Times New Roman" w:cs="Times New Roman"/>
          <w:color w:val="221E1F"/>
        </w:rPr>
        <w:t xml:space="preserve"> </w:t>
      </w:r>
    </w:p>
    <w:p w14:paraId="0782D471">
      <w:pPr>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color w:val="221E1F"/>
        </w:rPr>
      </w:pPr>
    </w:p>
    <w:p w14:paraId="1CFE8F64">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 xml:space="preserve"> Gabriel Cesar Costa</w:t>
      </w:r>
    </w:p>
    <w:p w14:paraId="0127A6CD">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Universidade do Extremo Sul Catarinense</w:t>
      </w:r>
    </w:p>
    <w:p w14:paraId="3525C9D7">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 xml:space="preserve">ORCID: </w:t>
      </w:r>
      <w:r>
        <w:fldChar w:fldCharType="begin"/>
      </w:r>
      <w:r>
        <w:instrText xml:space="preserve"> HYPERLINK "https://orcid.org/0009-0009-8388-7519" </w:instrText>
      </w:r>
      <w:r>
        <w:fldChar w:fldCharType="separate"/>
      </w:r>
      <w:r>
        <w:rPr>
          <w:rStyle w:val="12"/>
          <w:rFonts w:ascii="Times New Roman" w:hAnsi="Times New Roman" w:eastAsia="Times New Roman" w:cs="Times New Roman"/>
        </w:rPr>
        <w:t>https://orcid.org/0009-0009-8388-7519</w:t>
      </w:r>
      <w:r>
        <w:rPr>
          <w:rStyle w:val="12"/>
          <w:rFonts w:ascii="Times New Roman" w:hAnsi="Times New Roman" w:eastAsia="Times New Roman" w:cs="Times New Roman"/>
        </w:rPr>
        <w:fldChar w:fldCharType="end"/>
      </w:r>
      <w:r>
        <w:rPr>
          <w:rFonts w:ascii="Times New Roman" w:hAnsi="Times New Roman" w:eastAsia="Times New Roman" w:cs="Times New Roman"/>
          <w:color w:val="221E1F"/>
        </w:rPr>
        <w:t xml:space="preserve"> </w:t>
      </w:r>
    </w:p>
    <w:p w14:paraId="69786DDC">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Email:</w:t>
      </w:r>
      <w:r>
        <w:t xml:space="preserve"> </w:t>
      </w:r>
      <w:r>
        <w:fldChar w:fldCharType="begin"/>
      </w:r>
      <w:r>
        <w:instrText xml:space="preserve"> HYPERLINK "mailto:gabrielcesarcosta05@gmail.com" </w:instrText>
      </w:r>
      <w:r>
        <w:fldChar w:fldCharType="separate"/>
      </w:r>
      <w:r>
        <w:rPr>
          <w:rStyle w:val="12"/>
          <w:rFonts w:ascii="Times New Roman" w:hAnsi="Times New Roman" w:eastAsia="Times New Roman" w:cs="Times New Roman"/>
        </w:rPr>
        <w:t>gabrielcesarcosta05@gmail.com</w:t>
      </w:r>
      <w:r>
        <w:rPr>
          <w:rStyle w:val="12"/>
          <w:rFonts w:ascii="Times New Roman" w:hAnsi="Times New Roman" w:eastAsia="Times New Roman" w:cs="Times New Roman"/>
        </w:rPr>
        <w:fldChar w:fldCharType="end"/>
      </w:r>
      <w:r>
        <w:rPr>
          <w:rFonts w:ascii="Times New Roman" w:hAnsi="Times New Roman" w:eastAsia="Times New Roman" w:cs="Times New Roman"/>
          <w:color w:val="221E1F"/>
        </w:rPr>
        <w:t xml:space="preserve"> </w:t>
      </w:r>
    </w:p>
    <w:p w14:paraId="77B3F6E0">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p>
    <w:p w14:paraId="45AF0769">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Mirela Gusato</w:t>
      </w:r>
    </w:p>
    <w:p w14:paraId="1FA7CD0A">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Universidade do Extremo Sul Catarinense</w:t>
      </w:r>
    </w:p>
    <w:p w14:paraId="14EDB913">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ORCID:</w:t>
      </w:r>
      <w:r>
        <w:t xml:space="preserve"> </w:t>
      </w:r>
      <w:r>
        <w:fldChar w:fldCharType="begin"/>
      </w:r>
      <w:r>
        <w:instrText xml:space="preserve"> HYPERLINK "https://orcid.org/0009-0007-8804-4348" </w:instrText>
      </w:r>
      <w:r>
        <w:fldChar w:fldCharType="separate"/>
      </w:r>
      <w:r>
        <w:rPr>
          <w:rStyle w:val="12"/>
          <w:rFonts w:ascii="Times New Roman" w:hAnsi="Times New Roman" w:eastAsia="Times New Roman" w:cs="Times New Roman"/>
        </w:rPr>
        <w:t>https://orcid.org/0009-0007-8804-4348</w:t>
      </w:r>
      <w:r>
        <w:rPr>
          <w:rStyle w:val="12"/>
          <w:rFonts w:ascii="Times New Roman" w:hAnsi="Times New Roman" w:eastAsia="Times New Roman" w:cs="Times New Roman"/>
        </w:rPr>
        <w:fldChar w:fldCharType="end"/>
      </w:r>
    </w:p>
    <w:p w14:paraId="3357790C">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Email:</w:t>
      </w:r>
      <w:r>
        <w:t xml:space="preserve"> </w:t>
      </w:r>
      <w:r>
        <w:fldChar w:fldCharType="begin"/>
      </w:r>
      <w:r>
        <w:instrText xml:space="preserve"> HYPERLINK "mailto:mirelagusato@hotmail.com" </w:instrText>
      </w:r>
      <w:r>
        <w:fldChar w:fldCharType="separate"/>
      </w:r>
      <w:r>
        <w:rPr>
          <w:rStyle w:val="12"/>
          <w:rFonts w:ascii="Times New Roman" w:hAnsi="Times New Roman" w:eastAsia="Times New Roman" w:cs="Times New Roman"/>
        </w:rPr>
        <w:t>mirelagusato@hotmail.com</w:t>
      </w:r>
      <w:r>
        <w:rPr>
          <w:rStyle w:val="12"/>
          <w:rFonts w:ascii="Times New Roman" w:hAnsi="Times New Roman" w:eastAsia="Times New Roman" w:cs="Times New Roman"/>
        </w:rPr>
        <w:fldChar w:fldCharType="end"/>
      </w:r>
    </w:p>
    <w:p w14:paraId="0B883B2A">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p>
    <w:p w14:paraId="77B79B14">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Patrick Dutra</w:t>
      </w:r>
    </w:p>
    <w:p w14:paraId="07EF71ED">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rPr>
      </w:pPr>
      <w:r>
        <w:rPr>
          <w:rFonts w:ascii="Times New Roman" w:hAnsi="Times New Roman" w:eastAsia="Times New Roman" w:cs="Times New Roman"/>
          <w:color w:val="221E1F"/>
        </w:rPr>
        <w:t>Universidade do Extremo Sul Catarinense</w:t>
      </w:r>
    </w:p>
    <w:p w14:paraId="62B509F2">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lang w:val="en-US"/>
        </w:rPr>
      </w:pPr>
      <w:r>
        <w:rPr>
          <w:rFonts w:ascii="Times New Roman" w:hAnsi="Times New Roman" w:eastAsia="Times New Roman" w:cs="Times New Roman"/>
          <w:color w:val="221E1F"/>
          <w:lang w:val="en-US"/>
        </w:rPr>
        <w:t>ORCID:</w:t>
      </w:r>
      <w:r>
        <w:rPr>
          <w:lang w:val="en-US"/>
        </w:rPr>
        <w:t xml:space="preserve"> </w:t>
      </w:r>
      <w:r>
        <w:fldChar w:fldCharType="begin"/>
      </w:r>
      <w:r>
        <w:instrText xml:space="preserve"> HYPERLINK "https://orcid.org/0009-0007-9039-0282" </w:instrText>
      </w:r>
      <w:r>
        <w:fldChar w:fldCharType="separate"/>
      </w:r>
      <w:r>
        <w:rPr>
          <w:rStyle w:val="12"/>
          <w:rFonts w:ascii="Times New Roman" w:hAnsi="Times New Roman" w:eastAsia="Times New Roman" w:cs="Times New Roman"/>
          <w:lang w:val="en-US"/>
        </w:rPr>
        <w:t>https://orcid.org/0009-0007-9039-0282</w:t>
      </w:r>
      <w:r>
        <w:rPr>
          <w:rStyle w:val="12"/>
          <w:rFonts w:ascii="Times New Roman" w:hAnsi="Times New Roman" w:eastAsia="Times New Roman" w:cs="Times New Roman"/>
          <w:lang w:val="en-US"/>
        </w:rPr>
        <w:fldChar w:fldCharType="end"/>
      </w:r>
      <w:r>
        <w:rPr>
          <w:rFonts w:ascii="Times New Roman" w:hAnsi="Times New Roman" w:eastAsia="Times New Roman" w:cs="Times New Roman"/>
          <w:color w:val="221E1F"/>
          <w:lang w:val="en-US"/>
        </w:rPr>
        <w:t xml:space="preserve"> </w:t>
      </w:r>
    </w:p>
    <w:p w14:paraId="0287428C">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lang w:val="en-US"/>
        </w:rPr>
      </w:pPr>
      <w:r>
        <w:rPr>
          <w:rFonts w:ascii="Times New Roman" w:hAnsi="Times New Roman" w:eastAsia="Times New Roman" w:cs="Times New Roman"/>
          <w:color w:val="221E1F"/>
          <w:lang w:val="en-US"/>
        </w:rPr>
        <w:t>Email:</w:t>
      </w:r>
      <w:r>
        <w:rPr>
          <w:lang w:val="en-US"/>
        </w:rPr>
        <w:t xml:space="preserve"> </w:t>
      </w:r>
      <w:r>
        <w:fldChar w:fldCharType="begin"/>
      </w:r>
      <w:r>
        <w:instrText xml:space="preserve"> HYPERLINK "mailto:patrickdutra.his@unesc.net" </w:instrText>
      </w:r>
      <w:r>
        <w:fldChar w:fldCharType="separate"/>
      </w:r>
      <w:r>
        <w:rPr>
          <w:rStyle w:val="12"/>
          <w:rFonts w:ascii="Times New Roman" w:hAnsi="Times New Roman" w:eastAsia="Times New Roman" w:cs="Times New Roman"/>
          <w:lang w:val="en-US"/>
        </w:rPr>
        <w:t>patrickdutra.his@unesc.net</w:t>
      </w:r>
      <w:r>
        <w:rPr>
          <w:rStyle w:val="12"/>
          <w:rFonts w:ascii="Times New Roman" w:hAnsi="Times New Roman" w:eastAsia="Times New Roman" w:cs="Times New Roman"/>
          <w:lang w:val="en-US"/>
        </w:rPr>
        <w:fldChar w:fldCharType="end"/>
      </w:r>
      <w:r>
        <w:rPr>
          <w:rFonts w:ascii="Times New Roman" w:hAnsi="Times New Roman" w:eastAsia="Times New Roman" w:cs="Times New Roman"/>
          <w:color w:val="221E1F"/>
          <w:lang w:val="en-US"/>
        </w:rPr>
        <w:t xml:space="preserve"> </w:t>
      </w:r>
    </w:p>
    <w:p w14:paraId="42B05773">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ascii="Times New Roman" w:hAnsi="Times New Roman" w:eastAsia="Times New Roman" w:cs="Times New Roman"/>
          <w:color w:val="221E1F"/>
          <w:lang w:val="en-US"/>
        </w:rPr>
      </w:pPr>
    </w:p>
    <w:p w14:paraId="254677C1">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center"/>
        <w:rPr>
          <w:rFonts w:ascii="Times New Roman" w:hAnsi="Times New Roman" w:eastAsia="Times New Roman" w:cs="Times New Roman"/>
          <w:color w:val="221E1F"/>
          <w:lang w:val="en-US"/>
        </w:rPr>
      </w:pPr>
    </w:p>
    <w:p w14:paraId="79523A1B">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hint="default" w:ascii="Times New Roman" w:hAnsi="Times New Roman" w:eastAsia="Times New Roman" w:cs="Times New Roman"/>
          <w:color w:val="221E1F"/>
          <w:lang w:val="pt-BR"/>
        </w:rPr>
      </w:pPr>
      <w:r>
        <w:rPr>
          <w:rFonts w:hint="default" w:ascii="Times New Roman" w:hAnsi="Times New Roman" w:eastAsia="Times New Roman" w:cs="Times New Roman"/>
          <w:color w:val="221E1F"/>
          <w:lang w:val="pt-BR"/>
        </w:rPr>
        <w:t>Submissão: agosto, 2026</w:t>
      </w:r>
    </w:p>
    <w:p w14:paraId="23439914">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hint="default" w:ascii="Times New Roman" w:hAnsi="Times New Roman" w:eastAsia="Times New Roman" w:cs="Times New Roman"/>
          <w:color w:val="221E1F"/>
          <w:lang w:val="pt-BR"/>
        </w:rPr>
      </w:pPr>
      <w:r>
        <w:rPr>
          <w:rFonts w:hint="default" w:ascii="Times New Roman" w:hAnsi="Times New Roman" w:eastAsia="Times New Roman" w:cs="Times New Roman"/>
          <w:color w:val="221E1F"/>
          <w:lang w:val="pt-BR"/>
        </w:rPr>
        <w:t>Avaliação: agosto-outubro, 2026</w:t>
      </w:r>
    </w:p>
    <w:p w14:paraId="551B3810">
      <w:pPr>
        <w:pBdr>
          <w:top w:val="none" w:color="auto" w:sz="0" w:space="0"/>
          <w:left w:val="none" w:color="auto" w:sz="0" w:space="0"/>
          <w:bottom w:val="none" w:color="auto" w:sz="0" w:space="0"/>
          <w:right w:val="none" w:color="auto" w:sz="0" w:space="0"/>
          <w:between w:val="none" w:color="auto" w:sz="0" w:space="0"/>
        </w:pBdr>
        <w:spacing w:after="0" w:line="240" w:lineRule="auto"/>
        <w:ind w:left="720" w:hanging="720"/>
        <w:jc w:val="right"/>
        <w:rPr>
          <w:rFonts w:hint="default" w:ascii="Times New Roman" w:hAnsi="Times New Roman" w:eastAsia="Times New Roman" w:cs="Times New Roman"/>
          <w:color w:val="221E1F"/>
          <w:lang w:val="pt-BR"/>
        </w:rPr>
      </w:pPr>
      <w:r>
        <w:rPr>
          <w:rFonts w:hint="default" w:ascii="Times New Roman" w:hAnsi="Times New Roman" w:eastAsia="Times New Roman" w:cs="Times New Roman"/>
          <w:color w:val="221E1F"/>
          <w:lang w:val="pt-BR"/>
        </w:rPr>
        <w:t>Publicação: novembro, 2026</w:t>
      </w:r>
    </w:p>
    <w:sectPr>
      <w:footerReference r:id="rId9" w:type="first"/>
      <w:headerReference r:id="rId5" w:type="default"/>
      <w:footerReference r:id="rId7" w:type="default"/>
      <w:headerReference r:id="rId6" w:type="even"/>
      <w:footerReference r:id="rId8" w:type="even"/>
      <w:pgSz w:w="11906" w:h="16838"/>
      <w:pgMar w:top="1417" w:right="1701" w:bottom="1417" w:left="1701" w:header="708" w:footer="708" w:gutter="0"/>
      <w:pgNumType w:start="1"/>
      <w:cols w:space="72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E198A934-2BB0-6C8C-9473-EB6AEF2EAFCA}"/>
  </w:font>
  <w:font w:name="宋体">
    <w:panose1 w:val="02010600030101010101"/>
    <w:charset w:val="86"/>
    <w:family w:val="auto"/>
    <w:pitch w:val="default"/>
    <w:sig w:usb0="00000003" w:usb1="288F0000" w:usb2="00000006" w:usb3="00000000" w:csb0="00040001" w:csb1="00000000"/>
  </w:font>
  <w:font w:name="Arial">
    <w:panose1 w:val="020B0604020202090204"/>
    <w:charset w:val="00"/>
    <w:family w:val="swiss"/>
    <w:pitch w:val="default"/>
    <w:sig w:usb0="E0000AFF" w:usb1="00007843" w:usb2="00000001" w:usb3="00000000" w:csb0="400001BF" w:csb1="DFF70000"/>
    <w:embedRegular r:id="rId2" w:fontKey="{8589AE6B-FBE7-855B-9473-EB6A1730652F}"/>
  </w:font>
  <w:font w:name="黑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panose1 w:val="020F07020304040A0204"/>
    <w:charset w:val="00"/>
    <w:family w:val="swiss"/>
    <w:pitch w:val="default"/>
    <w:sig w:usb0="E10002FF" w:usb1="4000ACFF" w:usb2="00000009" w:usb3="00000000" w:csb0="2000019F" w:csb1="00000000"/>
  </w:font>
  <w:font w:name="等线">
    <w:altName w:val="苹方-简"/>
    <w:panose1 w:val="00000000000000000000"/>
    <w:charset w:val="86"/>
    <w:family w:val="auto"/>
    <w:pitch w:val="default"/>
    <w:sig w:usb0="00000000" w:usb1="00000000" w:usb2="00000000" w:usb3="00000000" w:csb0="00000000" w:csb1="00000000"/>
  </w:font>
  <w:font w:name="Aptos">
    <w:panose1 w:val="020B0004020202020204"/>
    <w:charset w:val="86"/>
    <w:family w:val="swiss"/>
    <w:pitch w:val="default"/>
    <w:sig w:usb0="20000287" w:usb1="00000003" w:usb2="00000000" w:usb3="00000000" w:csb0="2000019F" w:csb1="00000000"/>
    <w:embedRegular r:id="rId3" w:fontKey="{4486A5C3-2305-CAD0-9473-EB6A17DC6B5F}"/>
  </w:font>
  <w:font w:name="Play">
    <w:altName w:val="苹方-简"/>
    <w:panose1 w:val="00000000000000000000"/>
    <w:charset w:val="00"/>
    <w:family w:val="auto"/>
    <w:pitch w:val="default"/>
    <w:sig w:usb0="00000000" w:usb1="00000000" w:usb2="00000000" w:usb3="00000000" w:csb0="00000000" w:csb1="00000000"/>
  </w:font>
  <w:font w:name="Noto Sans">
    <w:panose1 w:val="020B0502040504020204"/>
    <w:charset w:val="00"/>
    <w:family w:val="swiss"/>
    <w:pitch w:val="default"/>
    <w:sig w:usb0="E00082FF" w:usb1="400078FF" w:usb2="00000021" w:usb3="00000000" w:csb0="2000019F" w:csb1="DFD70000"/>
    <w:embedRegular r:id="rId4" w:fontKey="{550CEEE3-755E-37E0-9473-EB6AFBFC49AE}"/>
  </w:font>
  <w:font w:name="Helvetica Neue Light">
    <w:panose1 w:val="02000503000000020004"/>
    <w:charset w:val="00"/>
    <w:family w:val="auto"/>
    <w:pitch w:val="default"/>
    <w:sig w:usb0="E50002FF" w:usb1="500079DB" w:usb2="00000010" w:usb3="00000000" w:csb0="00000000" w:csb1="00000000"/>
    <w:embedRegular r:id="rId5" w:fontKey="{DA298B7A-D7B3-C5ED-9473-EB6A57AA4FA7}"/>
  </w:font>
  <w:font w:name="苹方-简">
    <w:panose1 w:val="020B0400000000000000"/>
    <w:charset w:val="86"/>
    <w:family w:val="auto"/>
    <w:pitch w:val="default"/>
    <w:sig w:usb0="A00002FF" w:usb1="7ACFFDFB" w:usb2="00000017" w:usb3="00000000" w:csb0="00040001" w:csb1="00000000"/>
  </w:font>
  <w:font w:name="Times New Roman Regular">
    <w:panose1 w:val="02020503050405090304"/>
    <w:charset w:val="00"/>
    <w:family w:val="auto"/>
    <w:pitch w:val="default"/>
    <w:sig w:usb0="E0000AFF" w:usb1="00007843" w:usb2="00000001" w:usb3="00000000" w:csb0="400001BF" w:csb1="DFF70000"/>
  </w:font>
  <w:font w:name="Times New Roman Bold">
    <w:panose1 w:val="02020503050405090304"/>
    <w:charset w:val="00"/>
    <w:family w:val="auto"/>
    <w:pitch w:val="default"/>
    <w:sig w:usb0="E0000AFF" w:usb1="00007843" w:usb2="00000001" w:usb3="00000000" w:csb0="400001BF" w:csb1="DFF70000"/>
  </w:font>
  <w:font w:name="Times New Roman Bold Italic">
    <w:panose1 w:val="02020503050405090304"/>
    <w:charset w:val="00"/>
    <w:family w:val="auto"/>
    <w:pitch w:val="default"/>
    <w:sig w:usb0="E0000AFF" w:usb1="00007843"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D82BA">
    <w:pPr>
      <w:widowControl w:val="0"/>
      <w:pBdr>
        <w:top w:val="none" w:color="auto" w:sz="0" w:space="0"/>
        <w:left w:val="none" w:color="auto" w:sz="0" w:space="0"/>
        <w:bottom w:val="none" w:color="auto" w:sz="0" w:space="0"/>
        <w:right w:val="none" w:color="auto" w:sz="0" w:space="0"/>
        <w:between w:val="none" w:color="auto" w:sz="0" w:space="0"/>
      </w:pBdr>
      <w:spacing w:after="0" w:line="276" w:lineRule="auto"/>
      <w:rPr>
        <w:color w:val="000000"/>
      </w:rPr>
    </w:pPr>
  </w:p>
  <w:tbl>
    <w:tblPr>
      <w:tblStyle w:val="19"/>
      <w:tblpPr w:leftFromText="187" w:rightFromText="187" w:vertAnchor="text"/>
      <w:tblW w:w="8720" w:type="dxa"/>
      <w:tblInd w:w="0" w:type="dxa"/>
      <w:tblLayout w:type="fixed"/>
      <w:tblCellMar>
        <w:top w:w="0" w:type="dxa"/>
        <w:left w:w="108" w:type="dxa"/>
        <w:bottom w:w="0" w:type="dxa"/>
        <w:right w:w="108" w:type="dxa"/>
      </w:tblCellMar>
    </w:tblPr>
    <w:tblGrid>
      <w:gridCol w:w="6976"/>
      <w:gridCol w:w="1744"/>
    </w:tblGrid>
    <w:tr w14:paraId="205CAF4A">
      <w:trPr>
        <w:trHeight w:val="727" w:hRule="atLeast"/>
      </w:trPr>
      <w:tc>
        <w:tcPr>
          <w:tcW w:w="6976" w:type="dxa"/>
          <w:tcBorders>
            <w:right w:val="single" w:color="156082" w:sz="4" w:space="0"/>
          </w:tcBorders>
        </w:tcPr>
        <w:p w14:paraId="3D9CFBA7">
          <w:pPr>
            <w:tabs>
              <w:tab w:val="left" w:pos="620"/>
              <w:tab w:val="center" w:pos="4320"/>
            </w:tabs>
            <w:jc w:val="right"/>
            <w:rPr>
              <w:rFonts w:ascii="Play" w:hAnsi="Play" w:eastAsia="Play" w:cs="Play"/>
              <w:sz w:val="20"/>
              <w:szCs w:val="20"/>
            </w:rPr>
          </w:pPr>
        </w:p>
      </w:tc>
      <w:tc>
        <w:tcPr>
          <w:tcW w:w="1744" w:type="dxa"/>
          <w:tcBorders>
            <w:left w:val="single" w:color="156082" w:sz="4" w:space="0"/>
          </w:tcBorders>
        </w:tcPr>
        <w:p w14:paraId="4A6F0697">
          <w:pPr>
            <w:tabs>
              <w:tab w:val="left" w:pos="1490"/>
            </w:tabs>
            <w:rPr>
              <w:rFonts w:ascii="Play" w:hAnsi="Play" w:eastAsia="Play" w:cs="Play"/>
              <w:sz w:val="28"/>
              <w:szCs w:val="28"/>
            </w:rPr>
          </w:pPr>
          <w:r>
            <w:fldChar w:fldCharType="begin"/>
          </w:r>
          <w:r>
            <w:instrText xml:space="preserve">PAGE</w:instrText>
          </w:r>
          <w:r>
            <w:fldChar w:fldCharType="separate"/>
          </w:r>
          <w:r>
            <w:t>3</w:t>
          </w:r>
          <w:r>
            <w:fldChar w:fldCharType="end"/>
          </w:r>
        </w:p>
      </w:tc>
    </w:tr>
  </w:tbl>
  <w:p w14:paraId="1EBD7AF5">
    <w:pPr>
      <w:pBdr>
        <w:top w:val="none" w:color="auto" w:sz="0" w:space="0"/>
        <w:left w:val="none" w:color="auto" w:sz="0" w:space="0"/>
        <w:bottom w:val="none" w:color="auto" w:sz="0" w:space="0"/>
        <w:right w:val="none" w:color="auto" w:sz="0" w:space="0"/>
        <w:between w:val="none" w:color="auto" w:sz="0" w:space="0"/>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DED3F">
    <w:pPr>
      <w:widowControl w:val="0"/>
      <w:pBdr>
        <w:top w:val="none" w:color="auto" w:sz="0" w:space="0"/>
        <w:left w:val="none" w:color="auto" w:sz="0" w:space="0"/>
        <w:bottom w:val="none" w:color="auto" w:sz="0" w:space="0"/>
        <w:right w:val="none" w:color="auto" w:sz="0" w:space="0"/>
        <w:between w:val="none" w:color="auto" w:sz="0" w:space="0"/>
      </w:pBdr>
      <w:spacing w:after="0" w:line="276" w:lineRule="auto"/>
      <w:rPr>
        <w:color w:val="000000"/>
      </w:rPr>
    </w:pPr>
  </w:p>
  <w:tbl>
    <w:tblPr>
      <w:tblStyle w:val="20"/>
      <w:tblpPr w:leftFromText="187" w:rightFromText="187" w:vertAnchor="text"/>
      <w:tblW w:w="8720" w:type="dxa"/>
      <w:tblInd w:w="0" w:type="dxa"/>
      <w:tblLayout w:type="fixed"/>
      <w:tblCellMar>
        <w:top w:w="0" w:type="dxa"/>
        <w:left w:w="108" w:type="dxa"/>
        <w:bottom w:w="0" w:type="dxa"/>
        <w:right w:w="108" w:type="dxa"/>
      </w:tblCellMar>
    </w:tblPr>
    <w:tblGrid>
      <w:gridCol w:w="6976"/>
      <w:gridCol w:w="1744"/>
    </w:tblGrid>
    <w:tr w14:paraId="0D9FBC2C">
      <w:trPr>
        <w:trHeight w:val="727" w:hRule="atLeast"/>
      </w:trPr>
      <w:tc>
        <w:tcPr>
          <w:tcW w:w="6976" w:type="dxa"/>
          <w:tcBorders>
            <w:right w:val="single" w:color="156082" w:sz="4" w:space="0"/>
          </w:tcBorders>
        </w:tcPr>
        <w:p w14:paraId="1A236E85">
          <w:pPr>
            <w:tabs>
              <w:tab w:val="left" w:pos="620"/>
              <w:tab w:val="center" w:pos="4320"/>
            </w:tabs>
            <w:jc w:val="right"/>
            <w:rPr>
              <w:rFonts w:ascii="Play" w:hAnsi="Play" w:eastAsia="Play" w:cs="Play"/>
              <w:sz w:val="20"/>
              <w:szCs w:val="20"/>
            </w:rPr>
          </w:pPr>
        </w:p>
      </w:tc>
      <w:tc>
        <w:tcPr>
          <w:tcW w:w="1744" w:type="dxa"/>
          <w:tcBorders>
            <w:left w:val="single" w:color="156082" w:sz="4" w:space="0"/>
          </w:tcBorders>
        </w:tcPr>
        <w:p w14:paraId="5C53959E">
          <w:pPr>
            <w:tabs>
              <w:tab w:val="left" w:pos="1490"/>
            </w:tabs>
            <w:rPr>
              <w:rFonts w:ascii="Play" w:hAnsi="Play" w:eastAsia="Play" w:cs="Play"/>
              <w:sz w:val="28"/>
              <w:szCs w:val="28"/>
            </w:rPr>
          </w:pPr>
          <w:r>
            <w:fldChar w:fldCharType="begin"/>
          </w:r>
          <w:r>
            <w:instrText xml:space="preserve">PAGE</w:instrText>
          </w:r>
          <w:r>
            <w:fldChar w:fldCharType="separate"/>
          </w:r>
          <w:r>
            <w:t>2</w:t>
          </w:r>
          <w:r>
            <w:fldChar w:fldCharType="end"/>
          </w:r>
        </w:p>
      </w:tc>
    </w:tr>
  </w:tbl>
  <w:p w14:paraId="44029B6E">
    <w:pPr>
      <w:pBdr>
        <w:top w:val="none" w:color="auto" w:sz="0" w:space="0"/>
        <w:left w:val="none" w:color="auto" w:sz="0" w:space="0"/>
        <w:bottom w:val="none" w:color="auto" w:sz="0" w:space="0"/>
        <w:right w:val="none" w:color="auto" w:sz="0" w:space="0"/>
        <w:between w:val="none" w:color="auto" w:sz="0" w:space="0"/>
      </w:pBdr>
      <w:tabs>
        <w:tab w:val="center" w:pos="4252"/>
        <w:tab w:val="right" w:pos="8504"/>
      </w:tabs>
      <w:spacing w:after="0"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928EB">
    <w:pPr>
      <w:widowControl w:val="0"/>
      <w:pBdr>
        <w:top w:val="none" w:color="auto" w:sz="0" w:space="0"/>
        <w:left w:val="none" w:color="auto" w:sz="0" w:space="0"/>
        <w:bottom w:val="none" w:color="auto" w:sz="0" w:space="0"/>
        <w:right w:val="none" w:color="auto" w:sz="0" w:space="0"/>
        <w:between w:val="none" w:color="auto" w:sz="0" w:space="0"/>
      </w:pBdr>
      <w:spacing w:after="0" w:line="276" w:lineRule="auto"/>
      <w:rPr>
        <w:color w:val="000000"/>
      </w:rPr>
    </w:pPr>
  </w:p>
  <w:tbl>
    <w:tblPr>
      <w:tblStyle w:val="18"/>
      <w:tblpPr w:leftFromText="187" w:rightFromText="187" w:vertAnchor="text"/>
      <w:tblW w:w="8720" w:type="dxa"/>
      <w:tblInd w:w="0" w:type="dxa"/>
      <w:tblLayout w:type="fixed"/>
      <w:tblCellMar>
        <w:top w:w="0" w:type="dxa"/>
        <w:left w:w="108" w:type="dxa"/>
        <w:bottom w:w="0" w:type="dxa"/>
        <w:right w:w="108" w:type="dxa"/>
      </w:tblCellMar>
    </w:tblPr>
    <w:tblGrid>
      <w:gridCol w:w="6976"/>
      <w:gridCol w:w="1744"/>
    </w:tblGrid>
    <w:tr w14:paraId="0A780A95">
      <w:trPr>
        <w:trHeight w:val="727" w:hRule="atLeast"/>
      </w:trPr>
      <w:tc>
        <w:tcPr>
          <w:tcW w:w="6976" w:type="dxa"/>
          <w:tcBorders>
            <w:right w:val="single" w:color="156082" w:sz="4" w:space="0"/>
          </w:tcBorders>
        </w:tcPr>
        <w:p w14:paraId="3A63AE7E">
          <w:pPr>
            <w:pBdr>
              <w:top w:val="none" w:color="auto" w:sz="0" w:space="0"/>
              <w:left w:val="none" w:color="auto" w:sz="0" w:space="0"/>
              <w:bottom w:val="none" w:color="auto" w:sz="0" w:space="0"/>
              <w:right w:val="none" w:color="auto" w:sz="0" w:space="0"/>
              <w:between w:val="none" w:color="auto" w:sz="0" w:space="0"/>
            </w:pBdr>
            <w:spacing w:after="0" w:line="240" w:lineRule="auto"/>
            <w:jc w:val="right"/>
            <w:rPr>
              <w:rFonts w:hint="default" w:ascii="Times New Roman" w:hAnsi="Times New Roman" w:eastAsia="Arial" w:cs="Times New Roman"/>
              <w:b w:val="0"/>
              <w:bCs w:val="0"/>
              <w:i w:val="0"/>
              <w:iCs w:val="0"/>
              <w:color w:val="000000"/>
              <w:sz w:val="20"/>
              <w:szCs w:val="20"/>
            </w:rPr>
          </w:pPr>
          <w:r>
            <w:rPr>
              <w:rFonts w:hint="default" w:ascii="Times New Roman" w:hAnsi="Times New Roman" w:eastAsia="Arial" w:cs="Times New Roman"/>
              <w:b w:val="0"/>
              <w:bCs w:val="0"/>
              <w:i w:val="0"/>
              <w:iCs w:val="0"/>
              <w:color w:val="221E1F"/>
              <w:sz w:val="20"/>
              <w:szCs w:val="20"/>
            </w:rPr>
            <w:t>Revista Lusófona de Educação</w:t>
          </w:r>
        </w:p>
        <w:p w14:paraId="1D29D990">
          <w:pPr>
            <w:pBdr>
              <w:top w:val="none" w:color="auto" w:sz="0" w:space="0"/>
              <w:left w:val="none" w:color="auto" w:sz="0" w:space="0"/>
              <w:bottom w:val="none" w:color="auto" w:sz="0" w:space="0"/>
              <w:right w:val="none" w:color="auto" w:sz="0" w:space="0"/>
              <w:between w:val="none" w:color="auto" w:sz="0" w:space="0"/>
            </w:pBdr>
            <w:spacing w:after="0" w:line="240" w:lineRule="auto"/>
            <w:jc w:val="right"/>
            <w:rPr>
              <w:rFonts w:hint="default" w:ascii="Times New Roman" w:hAnsi="Times New Roman" w:eastAsia="Arial" w:cs="Times New Roman"/>
              <w:b w:val="0"/>
              <w:bCs w:val="0"/>
              <w:i w:val="0"/>
              <w:iCs w:val="0"/>
              <w:color w:val="221E1F"/>
              <w:sz w:val="20"/>
              <w:szCs w:val="20"/>
              <w:lang w:val="pt-BR"/>
            </w:rPr>
          </w:pPr>
          <w:r>
            <w:rPr>
              <w:rFonts w:hint="default" w:ascii="Times New Roman" w:hAnsi="Times New Roman" w:eastAsia="Arial" w:cs="Times New Roman"/>
              <w:b w:val="0"/>
              <w:bCs w:val="0"/>
              <w:i w:val="0"/>
              <w:iCs w:val="0"/>
              <w:color w:val="221E1F"/>
              <w:sz w:val="20"/>
              <w:szCs w:val="20"/>
            </w:rPr>
            <w:t>doi: https://doi.org/10.24140/issn.1645-7250.rle</w:t>
          </w:r>
          <w:r>
            <w:rPr>
              <w:rFonts w:hint="default" w:ascii="Times New Roman" w:hAnsi="Times New Roman" w:eastAsia="Arial" w:cs="Times New Roman"/>
              <w:b w:val="0"/>
              <w:bCs w:val="0"/>
              <w:i w:val="0"/>
              <w:iCs w:val="0"/>
              <w:color w:val="221E1F"/>
              <w:sz w:val="20"/>
              <w:szCs w:val="20"/>
              <w:lang w:val="pt-BR"/>
            </w:rPr>
            <w:t>.11773</w:t>
          </w:r>
        </w:p>
        <w:p w14:paraId="698C2F38">
          <w:pPr>
            <w:pBdr>
              <w:top w:val="none" w:color="auto" w:sz="0" w:space="0"/>
              <w:left w:val="none" w:color="auto" w:sz="0" w:space="0"/>
              <w:bottom w:val="none" w:color="auto" w:sz="0" w:space="0"/>
              <w:right w:val="none" w:color="auto" w:sz="0" w:space="0"/>
              <w:between w:val="none" w:color="auto" w:sz="0" w:space="0"/>
            </w:pBdr>
            <w:spacing w:after="0" w:line="240" w:lineRule="auto"/>
            <w:jc w:val="right"/>
            <w:rPr>
              <w:rFonts w:ascii="Play" w:hAnsi="Play" w:eastAsia="Play" w:cs="Play"/>
              <w:color w:val="000000"/>
              <w:sz w:val="20"/>
              <w:szCs w:val="20"/>
            </w:rPr>
          </w:pPr>
        </w:p>
      </w:tc>
      <w:tc>
        <w:tcPr>
          <w:tcW w:w="1744" w:type="dxa"/>
          <w:tcBorders>
            <w:left w:val="single" w:color="156082" w:sz="4" w:space="0"/>
          </w:tcBorders>
        </w:tcPr>
        <w:p w14:paraId="41FC633E">
          <w:pPr>
            <w:tabs>
              <w:tab w:val="left" w:pos="1490"/>
            </w:tabs>
            <w:rPr>
              <w:rFonts w:ascii="Play" w:hAnsi="Play" w:eastAsia="Play" w:cs="Play"/>
              <w:sz w:val="28"/>
              <w:szCs w:val="28"/>
            </w:rPr>
          </w:pPr>
          <w:r>
            <w:fldChar w:fldCharType="begin"/>
          </w:r>
          <w:r>
            <w:instrText xml:space="preserve">PAGE</w:instrText>
          </w:r>
          <w:r>
            <w:fldChar w:fldCharType="separate"/>
          </w:r>
          <w:r>
            <w:t>1</w:t>
          </w:r>
          <w:r>
            <w:fldChar w:fldCharType="end"/>
          </w:r>
        </w:p>
      </w:tc>
    </w:tr>
  </w:tbl>
  <w:p w14:paraId="3A3AAD6D">
    <w:pPr>
      <w:pBdr>
        <w:top w:val="none" w:color="auto" w:sz="0" w:space="0"/>
        <w:left w:val="none" w:color="auto" w:sz="0" w:space="0"/>
        <w:bottom w:val="none" w:color="auto" w:sz="0" w:space="0"/>
        <w:right w:val="none" w:color="auto" w:sz="0" w:space="0"/>
        <w:between w:val="none" w:color="auto" w:sz="0" w:space="0"/>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FFDDB">
    <w:pPr>
      <w:pBdr>
        <w:top w:val="none" w:color="auto" w:sz="0" w:space="0"/>
        <w:left w:val="none" w:color="auto" w:sz="0" w:space="0"/>
        <w:bottom w:val="none" w:color="auto" w:sz="0" w:space="0"/>
        <w:right w:val="none" w:color="auto" w:sz="0" w:space="0"/>
        <w:between w:val="none" w:color="auto" w:sz="0" w:space="0"/>
      </w:pBdr>
      <w:spacing w:after="280" w:line="240" w:lineRule="auto"/>
      <w:ind w:left="220" w:leftChars="0" w:firstLine="0" w:firstLineChars="0"/>
      <w:jc w:val="both"/>
      <w:rPr>
        <w:rFonts w:ascii="Times New Roman" w:hAnsi="Times New Roman" w:eastAsia="Times New Roman" w:cs="Times New Roman"/>
        <w:b w:val="0"/>
        <w:bCs w:val="0"/>
        <w:color w:val="221E1F"/>
        <w:sz w:val="20"/>
        <w:szCs w:val="20"/>
      </w:rPr>
    </w:pPr>
    <w:r>
      <w:rPr>
        <w:rFonts w:ascii="Times New Roman" w:hAnsi="Times New Roman" w:eastAsia="Times New Roman" w:cs="Times New Roman"/>
        <w:color w:val="221E1F"/>
        <w:sz w:val="20"/>
        <w:szCs w:val="20"/>
      </w:rPr>
      <w:t>Caroline Winke Ávila, Guilherme Orestes Canarim,</w:t>
    </w:r>
    <w:r>
      <w:rPr>
        <w:rFonts w:ascii="Noto Sans" w:hAnsi="Noto Sans" w:cs="Noto Sans"/>
        <w:sz w:val="20"/>
        <w:szCs w:val="20"/>
        <w:shd w:val="clear" w:color="auto" w:fill="FFFFFF"/>
      </w:rPr>
      <w:t xml:space="preserve"> </w:t>
    </w:r>
    <w:r>
      <w:rPr>
        <w:rFonts w:ascii="Times New Roman" w:hAnsi="Times New Roman" w:eastAsia="Times New Roman" w:cs="Times New Roman"/>
        <w:color w:val="221E1F"/>
        <w:sz w:val="20"/>
        <w:szCs w:val="20"/>
      </w:rPr>
      <w:t>Andreza de Oliveira, Carolina Bitencourt Ferreira, Gabriel Cesar Costa, Mirela Gusato, Patrick Dutra</w:t>
    </w:r>
    <w:r>
      <w:rPr>
        <w:rFonts w:hint="default" w:ascii="Times New Roman" w:hAnsi="Times New Roman" w:eastAsia="Times New Roman" w:cs="Times New Roman"/>
        <w:color w:val="221E1F"/>
        <w:sz w:val="20"/>
        <w:szCs w:val="20"/>
        <w:lang w:val="pt-BR"/>
      </w:rPr>
      <w:t xml:space="preserve">., </w:t>
    </w:r>
    <w:r>
      <w:rPr>
        <w:rFonts w:ascii="Times New Roman" w:hAnsi="Times New Roman" w:eastAsia="Times New Roman" w:cs="Times New Roman"/>
        <w:b w:val="0"/>
        <w:bCs w:val="0"/>
        <w:color w:val="221E1F"/>
        <w:sz w:val="20"/>
        <w:szCs w:val="20"/>
      </w:rPr>
      <w:t>Escola e combate à violência contra as mulheres</w:t>
    </w:r>
    <w:r>
      <w:rPr>
        <w:b w:val="0"/>
        <w:bCs w:val="0"/>
        <w:sz w:val="20"/>
        <w:szCs w:val="20"/>
      </w:rPr>
      <w:t xml:space="preserve"> </w:t>
    </w:r>
    <w:r>
      <w:rPr>
        <w:rFonts w:ascii="Times New Roman" w:hAnsi="Times New Roman" w:eastAsia="Times New Roman" w:cs="Times New Roman"/>
        <w:b w:val="0"/>
        <w:bCs w:val="0"/>
        <w:color w:val="221E1F"/>
        <w:sz w:val="20"/>
        <w:szCs w:val="20"/>
      </w:rPr>
      <w:t>na Literatura Recente (2020-2025)</w:t>
    </w:r>
  </w:p>
  <w:p w14:paraId="1608BAB0">
    <w:pPr>
      <w:pBdr>
        <w:top w:val="none" w:color="auto" w:sz="0" w:space="0"/>
        <w:left w:val="none" w:color="auto" w:sz="0" w:space="0"/>
        <w:bottom w:val="none" w:color="auto" w:sz="0" w:space="0"/>
        <w:right w:val="none" w:color="auto" w:sz="0" w:space="0"/>
        <w:between w:val="none" w:color="auto" w:sz="0" w:space="0"/>
      </w:pBdr>
      <w:spacing w:after="0" w:line="240" w:lineRule="auto"/>
      <w:ind w:left="220" w:leftChars="0" w:firstLine="0" w:firstLineChars="0"/>
      <w:jc w:val="both"/>
      <w:rPr>
        <w:rFonts w:hint="default" w:ascii="Times New Roman" w:hAnsi="Times New Roman" w:eastAsia="Times New Roman" w:cs="Times New Roman"/>
        <w:color w:val="221E1F"/>
        <w:sz w:val="20"/>
        <w:szCs w:val="20"/>
        <w:lang w:val="pt-BR"/>
      </w:rPr>
    </w:pPr>
  </w:p>
  <w:p w14:paraId="4AC7A4EF">
    <w:pPr>
      <w:pBdr>
        <w:top w:val="none" w:color="auto" w:sz="0" w:space="0"/>
        <w:left w:val="none" w:color="auto" w:sz="0" w:space="0"/>
        <w:bottom w:val="single" w:color="000000" w:sz="4" w:space="1"/>
        <w:right w:val="none" w:color="auto" w:sz="0" w:space="0"/>
        <w:between w:val="none" w:color="auto" w:sz="0" w:space="0"/>
      </w:pBdr>
      <w:tabs>
        <w:tab w:val="center" w:pos="4252"/>
        <w:tab w:val="right" w:pos="8504"/>
      </w:tabs>
      <w:spacing w:after="0" w:line="240" w:lineRule="auto"/>
      <w:jc w:val="right"/>
      <w:rPr>
        <w:color w:val="00000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4EB73">
    <w:pPr>
      <w:pBdr>
        <w:top w:val="none" w:color="auto" w:sz="0" w:space="0"/>
        <w:left w:val="none" w:color="auto" w:sz="0" w:space="0"/>
        <w:bottom w:val="single" w:color="000000" w:sz="4" w:space="1"/>
        <w:right w:val="none" w:color="auto" w:sz="0" w:space="0"/>
        <w:between w:val="none" w:color="auto" w:sz="0" w:space="0"/>
      </w:pBdr>
      <w:tabs>
        <w:tab w:val="center" w:pos="4252"/>
        <w:tab w:val="right" w:pos="8504"/>
      </w:tabs>
      <w:spacing w:after="0" w:line="240" w:lineRule="auto"/>
      <w:rPr>
        <w:rFonts w:ascii="Arial" w:hAnsi="Arial" w:eastAsia="Arial" w:cs="Arial"/>
        <w:color w:val="000000"/>
        <w:sz w:val="18"/>
        <w:szCs w:val="18"/>
      </w:rPr>
    </w:pPr>
    <w:r>
      <w:rPr>
        <w:rFonts w:ascii="Arial" w:hAnsi="Arial" w:eastAsia="Arial" w:cs="Arial"/>
        <w:color w:val="000000"/>
        <w:sz w:val="18"/>
        <w:szCs w:val="18"/>
      </w:rPr>
      <w:t>Revista Lusófona de Educação</w:t>
    </w:r>
  </w:p>
  <w:p w14:paraId="308965DB">
    <w:pPr>
      <w:pBdr>
        <w:top w:val="none" w:color="auto" w:sz="0" w:space="0"/>
        <w:left w:val="none" w:color="auto" w:sz="0" w:space="0"/>
        <w:bottom w:val="single" w:color="000000" w:sz="4" w:space="1"/>
        <w:right w:val="none" w:color="auto" w:sz="0" w:space="0"/>
        <w:between w:val="none" w:color="auto" w:sz="0" w:space="0"/>
      </w:pBdr>
      <w:tabs>
        <w:tab w:val="center" w:pos="4252"/>
        <w:tab w:val="right" w:pos="8504"/>
      </w:tabs>
      <w:spacing w:after="0" w:line="240" w:lineRule="auto"/>
      <w:rPr>
        <w:rFonts w:ascii="Helvetica Neue Light" w:hAnsi="Helvetica Neue Light" w:eastAsia="Helvetica Neue Light" w:cs="Helvetica Neue Light"/>
        <w:color w:val="000000"/>
        <w:sz w:val="18"/>
        <w:szCs w:val="18"/>
      </w:rPr>
    </w:pPr>
  </w:p>
  <w:p w14:paraId="22155C8D">
    <w:pPr>
      <w:pBdr>
        <w:top w:val="none" w:color="auto" w:sz="0" w:space="0"/>
        <w:left w:val="none" w:color="auto" w:sz="0" w:space="0"/>
        <w:bottom w:val="none" w:color="auto" w:sz="0" w:space="0"/>
        <w:right w:val="none" w:color="auto" w:sz="0" w:space="0"/>
        <w:between w:val="none" w:color="auto" w:sz="0" w:space="0"/>
      </w:pBd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removePersonalInformation/>
  <w:embedTrueTypeFonts/>
  <w:documentProtection w:enforcement="0"/>
  <w:defaultTabStop w:val="720"/>
  <w:hyphenationZone w:val="425"/>
  <w:evenAndOddHeaders w:val="1"/>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351"/>
    <w:rsid w:val="00072F32"/>
    <w:rsid w:val="00082601"/>
    <w:rsid w:val="00083327"/>
    <w:rsid w:val="00084CCA"/>
    <w:rsid w:val="000B7619"/>
    <w:rsid w:val="000C3B0F"/>
    <w:rsid w:val="00154413"/>
    <w:rsid w:val="00157C48"/>
    <w:rsid w:val="00220360"/>
    <w:rsid w:val="00257ED8"/>
    <w:rsid w:val="00260B12"/>
    <w:rsid w:val="00265B2E"/>
    <w:rsid w:val="00266A81"/>
    <w:rsid w:val="002A20A2"/>
    <w:rsid w:val="002A37D6"/>
    <w:rsid w:val="002B6665"/>
    <w:rsid w:val="002E0289"/>
    <w:rsid w:val="003418B0"/>
    <w:rsid w:val="00383D45"/>
    <w:rsid w:val="003E5A61"/>
    <w:rsid w:val="00413298"/>
    <w:rsid w:val="00422C25"/>
    <w:rsid w:val="00494990"/>
    <w:rsid w:val="004C013F"/>
    <w:rsid w:val="004D5106"/>
    <w:rsid w:val="004E70D5"/>
    <w:rsid w:val="00565E90"/>
    <w:rsid w:val="005A7D98"/>
    <w:rsid w:val="005B417B"/>
    <w:rsid w:val="005C67DE"/>
    <w:rsid w:val="0060670C"/>
    <w:rsid w:val="0066154B"/>
    <w:rsid w:val="0067395E"/>
    <w:rsid w:val="006E0FC8"/>
    <w:rsid w:val="00706351"/>
    <w:rsid w:val="0083767C"/>
    <w:rsid w:val="00882789"/>
    <w:rsid w:val="008942DD"/>
    <w:rsid w:val="008A0983"/>
    <w:rsid w:val="008B4CE1"/>
    <w:rsid w:val="008F535D"/>
    <w:rsid w:val="009015B2"/>
    <w:rsid w:val="00910CFE"/>
    <w:rsid w:val="00915690"/>
    <w:rsid w:val="00986171"/>
    <w:rsid w:val="00A051A1"/>
    <w:rsid w:val="00A168C8"/>
    <w:rsid w:val="00A228CD"/>
    <w:rsid w:val="00A965CF"/>
    <w:rsid w:val="00AC3DA3"/>
    <w:rsid w:val="00BB2909"/>
    <w:rsid w:val="00BF4D56"/>
    <w:rsid w:val="00C84FEB"/>
    <w:rsid w:val="00CC6FEA"/>
    <w:rsid w:val="00CD4FA8"/>
    <w:rsid w:val="00D422A4"/>
    <w:rsid w:val="00DB554C"/>
    <w:rsid w:val="00E259FC"/>
    <w:rsid w:val="00F236B8"/>
    <w:rsid w:val="00FC2CAA"/>
    <w:rsid w:val="1FFCF543"/>
    <w:rsid w:val="72BB81B7"/>
    <w:rsid w:val="9ADD2D72"/>
    <w:rsid w:val="9BECB2A9"/>
    <w:rsid w:val="F37783FF"/>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ptos" w:hAnsi="Aptos" w:eastAsia="Aptos" w:cs="Apto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Aptos" w:hAnsi="Aptos" w:eastAsia="Aptos" w:cs="Aptos"/>
      <w:sz w:val="22"/>
      <w:szCs w:val="22"/>
      <w:lang w:val="pt-PT" w:eastAsia="pt-BR" w:bidi="ar-SA"/>
    </w:rPr>
  </w:style>
  <w:style w:type="paragraph" w:styleId="2">
    <w:name w:val="heading 1"/>
    <w:basedOn w:val="1"/>
    <w:next w:val="1"/>
    <w:qFormat/>
    <w:uiPriority w:val="9"/>
    <w:pPr>
      <w:keepNext/>
      <w:keepLines/>
      <w:spacing w:before="360" w:after="80"/>
      <w:outlineLvl w:val="0"/>
    </w:pPr>
    <w:rPr>
      <w:rFonts w:ascii="Play" w:hAnsi="Play" w:eastAsia="Play" w:cs="Play"/>
      <w:color w:val="0F4761"/>
      <w:sz w:val="40"/>
      <w:szCs w:val="40"/>
    </w:rPr>
  </w:style>
  <w:style w:type="paragraph" w:styleId="3">
    <w:name w:val="heading 2"/>
    <w:basedOn w:val="1"/>
    <w:next w:val="1"/>
    <w:semiHidden/>
    <w:unhideWhenUsed/>
    <w:qFormat/>
    <w:uiPriority w:val="9"/>
    <w:pPr>
      <w:keepNext/>
      <w:keepLines/>
      <w:spacing w:before="160" w:after="80"/>
      <w:outlineLvl w:val="1"/>
    </w:pPr>
    <w:rPr>
      <w:rFonts w:ascii="Play" w:hAnsi="Play" w:eastAsia="Play" w:cs="Play"/>
      <w:color w:val="0F4761"/>
      <w:sz w:val="32"/>
      <w:szCs w:val="32"/>
    </w:rPr>
  </w:style>
  <w:style w:type="paragraph" w:styleId="4">
    <w:name w:val="heading 3"/>
    <w:basedOn w:val="1"/>
    <w:next w:val="1"/>
    <w:semiHidden/>
    <w:unhideWhenUsed/>
    <w:qFormat/>
    <w:uiPriority w:val="9"/>
    <w:pPr>
      <w:keepNext/>
      <w:keepLines/>
      <w:spacing w:before="160" w:after="80"/>
      <w:outlineLvl w:val="2"/>
    </w:pPr>
    <w:rPr>
      <w:color w:val="0F4761"/>
      <w:sz w:val="28"/>
      <w:szCs w:val="28"/>
    </w:rPr>
  </w:style>
  <w:style w:type="paragraph" w:styleId="5">
    <w:name w:val="heading 4"/>
    <w:basedOn w:val="1"/>
    <w:next w:val="1"/>
    <w:semiHidden/>
    <w:unhideWhenUsed/>
    <w:qFormat/>
    <w:uiPriority w:val="9"/>
    <w:pPr>
      <w:keepNext/>
      <w:keepLines/>
      <w:spacing w:before="80" w:after="40"/>
      <w:outlineLvl w:val="3"/>
    </w:pPr>
    <w:rPr>
      <w:i/>
      <w:iCs/>
      <w:color w:val="0F4761"/>
    </w:rPr>
  </w:style>
  <w:style w:type="paragraph" w:styleId="6">
    <w:name w:val="heading 5"/>
    <w:basedOn w:val="1"/>
    <w:next w:val="1"/>
    <w:semiHidden/>
    <w:unhideWhenUsed/>
    <w:qFormat/>
    <w:uiPriority w:val="9"/>
    <w:pPr>
      <w:keepNext/>
      <w:keepLines/>
      <w:spacing w:before="80" w:after="40"/>
      <w:outlineLvl w:val="4"/>
    </w:pPr>
    <w:rPr>
      <w:color w:val="0F4761"/>
    </w:rPr>
  </w:style>
  <w:style w:type="paragraph" w:styleId="7">
    <w:name w:val="heading 6"/>
    <w:basedOn w:val="1"/>
    <w:next w:val="1"/>
    <w:semiHidden/>
    <w:unhideWhenUsed/>
    <w:qFormat/>
    <w:uiPriority w:val="9"/>
    <w:pPr>
      <w:keepNext/>
      <w:keepLines/>
      <w:spacing w:before="40" w:after="0"/>
      <w:outlineLvl w:val="5"/>
    </w:pPr>
    <w:rPr>
      <w:i/>
      <w:iCs/>
      <w:color w:val="595959"/>
    </w:rPr>
  </w:style>
  <w:style w:type="character" w:default="1" w:styleId="8">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FollowedHyperlink"/>
    <w:basedOn w:val="8"/>
    <w:semiHidden/>
    <w:unhideWhenUsed/>
    <w:qFormat/>
    <w:uiPriority w:val="99"/>
    <w:rPr>
      <w:color w:val="800080" w:themeColor="followedHyperlink"/>
      <w:u w:val="single"/>
      <w14:textFill>
        <w14:solidFill>
          <w14:schemeClr w14:val="folHlink"/>
        </w14:solidFill>
      </w14:textFill>
    </w:rPr>
  </w:style>
  <w:style w:type="paragraph" w:styleId="11">
    <w:name w:val="header"/>
    <w:basedOn w:val="1"/>
    <w:semiHidden/>
    <w:unhideWhenUsed/>
    <w:uiPriority w:val="99"/>
    <w:pPr>
      <w:tabs>
        <w:tab w:val="center" w:pos="4153"/>
        <w:tab w:val="right" w:pos="8306"/>
      </w:tabs>
      <w:snapToGrid w:val="0"/>
    </w:pPr>
    <w:rPr>
      <w:sz w:val="18"/>
      <w:szCs w:val="18"/>
    </w:rPr>
  </w:style>
  <w:style w:type="character" w:styleId="12">
    <w:name w:val="Hyperlink"/>
    <w:basedOn w:val="8"/>
    <w:unhideWhenUsed/>
    <w:qFormat/>
    <w:uiPriority w:val="99"/>
    <w:rPr>
      <w:color w:val="0000FF" w:themeColor="hyperlink"/>
      <w:u w:val="single"/>
      <w14:textFill>
        <w14:solidFill>
          <w14:schemeClr w14:val="hlink"/>
        </w14:solidFill>
      </w14:textFill>
    </w:rPr>
  </w:style>
  <w:style w:type="paragraph" w:styleId="13">
    <w:name w:val="Normal (Web)"/>
    <w:basedOn w:val="1"/>
    <w:semiHidden/>
    <w:unhideWhenUsed/>
    <w:qFormat/>
    <w:uiPriority w:val="99"/>
    <w:rPr>
      <w:rFonts w:ascii="Times New Roman" w:hAnsi="Times New Roman" w:cs="Times New Roman"/>
      <w:sz w:val="24"/>
      <w:szCs w:val="24"/>
    </w:rPr>
  </w:style>
  <w:style w:type="paragraph" w:styleId="14">
    <w:name w:val="Subtitle"/>
    <w:basedOn w:val="1"/>
    <w:next w:val="1"/>
    <w:qFormat/>
    <w:uiPriority w:val="11"/>
    <w:rPr>
      <w:color w:val="595959"/>
      <w:sz w:val="28"/>
      <w:szCs w:val="28"/>
    </w:rPr>
  </w:style>
  <w:style w:type="table" w:styleId="15">
    <w:name w:val="Table Grid"/>
    <w:basedOn w:val="9"/>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6">
    <w:name w:val="Title"/>
    <w:basedOn w:val="1"/>
    <w:next w:val="1"/>
    <w:qFormat/>
    <w:uiPriority w:val="10"/>
    <w:pPr>
      <w:spacing w:after="80" w:line="240" w:lineRule="auto"/>
    </w:pPr>
    <w:rPr>
      <w:rFonts w:ascii="Play" w:hAnsi="Play" w:eastAsia="Play" w:cs="Play"/>
      <w:sz w:val="56"/>
      <w:szCs w:val="56"/>
    </w:rPr>
  </w:style>
  <w:style w:type="table" w:customStyle="1" w:styleId="17">
    <w:name w:val="TableNormal"/>
    <w:qFormat/>
    <w:uiPriority w:val="0"/>
    <w:tblPr>
      <w:tblCellMar>
        <w:top w:w="100" w:type="dxa"/>
        <w:left w:w="100" w:type="dxa"/>
        <w:bottom w:w="100" w:type="dxa"/>
        <w:right w:w="100" w:type="dxa"/>
      </w:tblCellMar>
    </w:tblPr>
  </w:style>
  <w:style w:type="table" w:customStyle="1" w:styleId="18">
    <w:name w:val="3"/>
    <w:basedOn w:val="17"/>
    <w:qFormat/>
    <w:uiPriority w:val="0"/>
    <w:tblPr>
      <w:tblCellMar>
        <w:top w:w="0" w:type="dxa"/>
        <w:left w:w="108" w:type="dxa"/>
        <w:bottom w:w="0" w:type="dxa"/>
        <w:right w:w="108" w:type="dxa"/>
      </w:tblCellMar>
    </w:tblPr>
  </w:style>
  <w:style w:type="table" w:customStyle="1" w:styleId="19">
    <w:name w:val="2"/>
    <w:basedOn w:val="17"/>
    <w:qFormat/>
    <w:uiPriority w:val="0"/>
    <w:tblPr>
      <w:tblCellMar>
        <w:top w:w="0" w:type="dxa"/>
        <w:left w:w="108" w:type="dxa"/>
        <w:bottom w:w="0" w:type="dxa"/>
        <w:right w:w="108" w:type="dxa"/>
      </w:tblCellMar>
    </w:tblPr>
  </w:style>
  <w:style w:type="table" w:customStyle="1" w:styleId="20">
    <w:name w:val="1"/>
    <w:basedOn w:val="17"/>
    <w:qFormat/>
    <w:uiPriority w:val="0"/>
    <w:tblPr>
      <w:tblCellMar>
        <w:top w:w="0" w:type="dxa"/>
        <w:left w:w="108" w:type="dxa"/>
        <w:bottom w:w="0" w:type="dxa"/>
        <w:right w:w="108" w:type="dxa"/>
      </w:tblCellMar>
    </w:tblPr>
  </w:style>
  <w:style w:type="character" w:customStyle="1" w:styleId="21">
    <w:name w:val="Unresolved Mention"/>
    <w:basedOn w:val="8"/>
    <w:semiHidden/>
    <w:unhideWhenUsed/>
    <w:qFormat/>
    <w:uiPriority w:val="99"/>
    <w:rPr>
      <w:color w:val="605E5C"/>
      <w:shd w:val="clear" w:color="auto" w:fill="E1DFDD"/>
    </w:rPr>
  </w:style>
  <w:style w:type="paragraph" w:styleId="22">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http://schemas.openxmlformats.org/officeDocument/2006/bibliography" xmlns:b="http://schemas.openxmlformats.org/officeDocument/2006/bibliography" Version="6" StyleName="APA" SelectedStyle="\APASixthEditionOfficeOnline.xsl"/>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o7lAzZFS24amw+hiF/gtcxdygw==">CgMxLjAyDmguZ3dzZThpNHI1bnNzOAByITF5U0hFYVdPSk96MG56V1pnUGg2R1I4WUxGTjVEYkR3bA==</go:docsCustomData>
</go:gDocsCustomXmlDataStorage>
</file>

<file path=customXml/itemProps1.xml><?xml version="1.0" encoding="utf-8"?>
<ds:datastoreItem xmlns:ds="http://schemas.openxmlformats.org/officeDocument/2006/customXml" ds:itemID="{BED40876-B737-441C-8503-6B2650461094}">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23</Pages>
  <Words>9053</Words>
  <Characters>48887</Characters>
  <Lines>407</Lines>
  <Paragraphs>115</Paragraphs>
  <TotalTime>7</TotalTime>
  <ScaleCrop>false</ScaleCrop>
  <LinksUpToDate>false</LinksUpToDate>
  <CharactersWithSpaces>57825</CharactersWithSpaces>
  <Application>WPS Office_12.1.25867.25867_F1E327BC-269C-435d-A152-05C5408002CA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2026-11-03T18:31:00Z</dcterms:created>
  <dcterms:modified xsi:type="dcterms:W3CDTF">2026-11-04T18:04:04Z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1033-12.1.25867.25867</vt:lpwstr>
  </property>
  <property fmtid="{D5CDD505-2E9C-101B-9397-08002B2CF9AE}" pid="3" name="ICV">
    <vt:lpwstr>BD081A7C55953C288770EB6ACEAD6607_42</vt:lpwstr>
  </property>
</Properties>
</file>